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8"/>
          <w:sz w:val="32"/>
        </w:rPr>
        <w:t>ODA3 Institute</w:t>
      </w:r>
    </w:p>
    <w:p>
      <w:pPr>
        <w:jc w:val="center"/>
      </w:pPr>
      <w:r>
        <w:rPr>
          <w:b/>
          <w:color w:val="2F5597"/>
          <w:sz w:val="36"/>
        </w:rPr>
        <w:t>SEC-049</w:t>
      </w:r>
    </w:p>
    <w:p>
      <w:pPr>
        <w:jc w:val="center"/>
      </w:pPr>
      <w:r>
        <w:rPr>
          <w:b/>
          <w:color w:val="17365D"/>
          <w:sz w:val="52"/>
        </w:rPr>
        <w:t>GAISSF Pharmaceutical Sector</w:t>
        <w:br/>
        <w:t>Implementation Guide</w:t>
      </w:r>
    </w:p>
    <w:p>
      <w:pPr>
        <w:jc w:val="center"/>
      </w:pPr>
      <w:r>
        <w:rPr>
          <w:i/>
        </w:rPr>
        <w:t>Version 1.1  |  Controlled Pre-Release  |  Informative</w:t>
      </w:r>
    </w:p>
    <w:p>
      <w:pPr>
        <w:jc w:val="center"/>
      </w:pPr>
      <w:r>
        <w:br/>
        <w:t>Authoritative baseline: GAISSF-NOR-004 v1.0</w:t>
        <w:br/>
        <w:t>59 controls across nine domains</w:t>
      </w:r>
    </w:p>
    <w:p>
      <w:r/>
    </w:p>
    <w:p>
      <w:pPr>
        <w:pStyle w:val="Heading1"/>
      </w:pPr>
      <w:r>
        <w:t>Document Control</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Field</w:t>
            </w:r>
          </w:p>
        </w:tc>
        <w:tc>
          <w:tcPr>
            <w:tcW w:type="dxa" w:w="5112"/>
            <w:shd w:fill="1F4E78"/>
          </w:tcPr>
          <w:p>
            <w:r>
              <w:rPr>
                <w:b/>
                <w:color w:val="FFFFFF"/>
                <w:sz w:val="16"/>
              </w:rPr>
              <w:t>Value</w:t>
            </w:r>
          </w:p>
        </w:tc>
      </w:tr>
      <w:tr>
        <w:tc>
          <w:tcPr>
            <w:tcW w:type="dxa" w:w="5112"/>
            <w:vAlign w:val="top"/>
          </w:tcPr>
          <w:p>
            <w:r>
              <w:rPr>
                <w:sz w:val="15"/>
              </w:rPr>
              <w:t>Document ID</w:t>
            </w:r>
          </w:p>
        </w:tc>
        <w:tc>
          <w:tcPr>
            <w:tcW w:type="dxa" w:w="5112"/>
            <w:vAlign w:val="top"/>
          </w:tcPr>
          <w:p>
            <w:r>
              <w:rPr>
                <w:sz w:val="15"/>
              </w:rPr>
              <w:t>SEC-049</w:t>
            </w:r>
          </w:p>
        </w:tc>
      </w:tr>
      <w:tr>
        <w:tc>
          <w:tcPr>
            <w:tcW w:type="dxa" w:w="5112"/>
            <w:vAlign w:val="top"/>
          </w:tcPr>
          <w:p>
            <w:r>
              <w:rPr>
                <w:sz w:val="15"/>
              </w:rPr>
              <w:t>Version</w:t>
            </w:r>
          </w:p>
        </w:tc>
        <w:tc>
          <w:tcPr>
            <w:tcW w:type="dxa" w:w="5112"/>
            <w:vAlign w:val="top"/>
          </w:tcPr>
          <w:p>
            <w:r>
              <w:t>1.1</w:t>
            </w:r>
          </w:p>
        </w:tc>
      </w:tr>
      <w:tr>
        <w:tc>
          <w:tcPr>
            <w:tcW w:type="dxa" w:w="5112"/>
            <w:vAlign w:val="top"/>
          </w:tcPr>
          <w:p>
            <w:r>
              <w:rPr>
                <w:sz w:val="15"/>
              </w:rPr>
              <w:t>Status</w:t>
            </w:r>
          </w:p>
        </w:tc>
        <w:tc>
          <w:tcPr>
            <w:tcW w:type="dxa" w:w="5112"/>
            <w:vAlign w:val="top"/>
          </w:tcPr>
          <w:p>
            <w:r>
              <w:rPr>
                <w:sz w:val="15"/>
              </w:rPr>
              <w:t>Controlled pre-release</w:t>
            </w:r>
          </w:p>
        </w:tc>
      </w:tr>
      <w:tr>
        <w:tc>
          <w:tcPr>
            <w:tcW w:type="dxa" w:w="5112"/>
            <w:vAlign w:val="top"/>
          </w:tcPr>
          <w:p>
            <w:r>
              <w:rPr>
                <w:sz w:val="15"/>
              </w:rPr>
              <w:t>Classification</w:t>
            </w:r>
          </w:p>
        </w:tc>
        <w:tc>
          <w:tcPr>
            <w:tcW w:type="dxa" w:w="5112"/>
            <w:vAlign w:val="top"/>
          </w:tcPr>
          <w:p>
            <w:r>
              <w:rPr>
                <w:sz w:val="15"/>
              </w:rPr>
              <w:t>Informative sector implementation guidance</w:t>
            </w:r>
          </w:p>
        </w:tc>
      </w:tr>
      <w:tr>
        <w:tc>
          <w:tcPr>
            <w:tcW w:type="dxa" w:w="5112"/>
            <w:vAlign w:val="top"/>
          </w:tcPr>
          <w:p>
            <w:r>
              <w:rPr>
                <w:sz w:val="15"/>
              </w:rPr>
              <w:t>Publisher</w:t>
            </w:r>
          </w:p>
        </w:tc>
        <w:tc>
          <w:tcPr>
            <w:tcW w:type="dxa" w:w="5112"/>
            <w:vAlign w:val="top"/>
          </w:tcPr>
          <w:p>
            <w:r>
              <w:rPr>
                <w:sz w:val="15"/>
              </w:rPr>
              <w:t>ODA3 Institute</w:t>
            </w:r>
          </w:p>
        </w:tc>
      </w:tr>
      <w:tr>
        <w:tc>
          <w:tcPr>
            <w:tcW w:type="dxa" w:w="5112"/>
            <w:vAlign w:val="top"/>
          </w:tcPr>
          <w:p>
            <w:r>
              <w:rPr>
                <w:sz w:val="15"/>
              </w:rPr>
              <w:t>Legal entity</w:t>
            </w:r>
          </w:p>
        </w:tc>
        <w:tc>
          <w:tcPr>
            <w:tcW w:type="dxa" w:w="5112"/>
            <w:vAlign w:val="top"/>
          </w:tcPr>
          <w:p>
            <w:r>
              <w:rPr>
                <w:sz w:val="15"/>
              </w:rPr>
              <w:t>ODA3 Pvt Ltd (legal and copyright notices only)</w:t>
            </w:r>
          </w:p>
        </w:tc>
      </w:tr>
      <w:tr>
        <w:tc>
          <w:tcPr>
            <w:tcW w:type="dxa" w:w="5112"/>
            <w:vAlign w:val="top"/>
          </w:tcPr>
          <w:p>
            <w:r>
              <w:rPr>
                <w:sz w:val="15"/>
              </w:rPr>
              <w:t>Authoritative control source</w:t>
            </w:r>
          </w:p>
        </w:tc>
        <w:tc>
          <w:tcPr>
            <w:tcW w:type="dxa" w:w="5112"/>
            <w:vAlign w:val="top"/>
          </w:tcPr>
          <w:p>
            <w:r>
              <w:t>GAISSF-NOR-004 v1.0 corrected final publication edition</w:t>
            </w:r>
          </w:p>
        </w:tc>
      </w:tr>
      <w:tr>
        <w:tc>
          <w:tcPr>
            <w:tcW w:type="dxa" w:w="5112"/>
            <w:vAlign w:val="top"/>
          </w:tcPr>
          <w:p>
            <w:r>
              <w:rPr>
                <w:sz w:val="15"/>
              </w:rPr>
              <w:t>Control baseline</w:t>
            </w:r>
          </w:p>
        </w:tc>
        <w:tc>
          <w:tcPr>
            <w:tcW w:type="dxa" w:w="5112"/>
            <w:vAlign w:val="top"/>
          </w:tcPr>
          <w:p>
            <w:r>
              <w:rPr>
                <w:sz w:val="15"/>
              </w:rPr>
              <w:t>59 controls across nine domains</w:t>
            </w:r>
          </w:p>
        </w:tc>
      </w:tr>
      <w:tr>
        <w:tc>
          <w:tcPr>
            <w:tcW w:type="dxa" w:w="5112"/>
            <w:vAlign w:val="top"/>
          </w:tcPr>
          <w:p>
            <w:r>
              <w:rPr>
                <w:sz w:val="15"/>
              </w:rPr>
              <w:t>Publication date</w:t>
            </w:r>
          </w:p>
        </w:tc>
        <w:tc>
          <w:tcPr>
            <w:tcW w:type="dxa" w:w="5112"/>
            <w:vAlign w:val="top"/>
          </w:tcPr>
          <w:p>
            <w:r>
              <w:rPr>
                <w:sz w:val="15"/>
              </w:rPr>
              <w:t>Not assigned</w:t>
            </w:r>
          </w:p>
        </w:tc>
      </w:tr>
      <w:tr>
        <w:tc>
          <w:tcPr>
            <w:tcW w:type="dxa" w:w="5112"/>
            <w:vAlign w:val="top"/>
          </w:tcPr>
          <w:p>
            <w:r>
              <w:rPr>
                <w:sz w:val="15"/>
              </w:rPr>
              <w:t>Distribution</w:t>
            </w:r>
          </w:p>
        </w:tc>
        <w:tc>
          <w:tcPr>
            <w:tcW w:type="dxa" w:w="5112"/>
            <w:vAlign w:val="top"/>
          </w:tcPr>
          <w:p>
            <w:r>
              <w:rPr>
                <w:sz w:val="15"/>
              </w:rPr>
              <w:t>Website / GitHub after review gates close</w:t>
            </w:r>
          </w:p>
        </w:tc>
      </w:tr>
    </w:tbl>
    <w:p/>
    <w:p>
      <w:pPr>
        <w:pStyle w:val="Heading1"/>
      </w:pPr>
      <w:r>
        <w:t>Legal and Use Disclaimer</w:t>
      </w:r>
    </w:p>
    <w:p>
      <w:r>
        <w:t>This guide is an implementation aid. It does not amend GAISSF, provide legal or regulatory advice, determine GxP applicability, establish validation adequacy, confer certification, or guarantee security, safety, product quality, clinical integrity, regulatory compliance or absence of harm. External requirements must be verified for the applicable product, process, jurisdiction and effective date.</w:t>
      </w:r>
    </w:p>
    <w:p>
      <w:pPr>
        <w:pStyle w:val="Heading1"/>
      </w:pPr>
      <w:r>
        <w:t>Executive Summary</w:t>
      </w:r>
    </w:p>
    <w:p>
      <w:r>
        <w:t>Pharmaceutical AI security intersects with patient safety, product quality, clinical integrity, pharmacovigilance, data integrity, validated-state maintenance, regulated records and supplier dependence. SEC-049 translates each authoritative GAISSF control into sector implementation considerations while preserving the distinction between normative requirements and informative guidance.</w:t>
      </w:r>
    </w:p>
    <w:p>
      <w:pPr>
        <w:pStyle w:val="Heading1"/>
      </w:pPr>
      <w:r>
        <w:t>1. Purpose, Scope and Audience</w:t>
      </w:r>
    </w:p>
    <w:p>
      <w:r>
        <w:t>This guide supports CISOs, security architects, AI governance leads, quality and validation leaders, pharmacovigilance, clinical operations, regulatory affairs, manufacturing, laboratory, privacy, legal, audit and risk functions. It covers discovery through post-market operations and supporting technology services.</w:t>
      </w:r>
    </w:p>
    <w:p>
      <w:pPr>
        <w:pStyle w:val="Heading1"/>
      </w:pPr>
      <w:r>
        <w:t>2. Relationship to GAISSF</w:t>
      </w:r>
    </w:p>
    <w:p>
      <w:r>
        <w:t>GAISSF-NOR-004 remains authoritative. The 59 control identifiers and titles are preserved. Pharmaceutical interpretations, examples, evidence suggestions and maturity statements are informative and do not create new conformance obligations.</w:t>
      </w:r>
    </w:p>
    <w:p>
      <w:pPr>
        <w:pStyle w:val="Heading1"/>
      </w:pPr>
      <w:r>
        <w:t>3. Criticality Model</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1F4E78"/>
          </w:tcPr>
          <w:p>
            <w:r>
              <w:rPr>
                <w:b/>
                <w:color w:val="FFFFFF"/>
                <w:sz w:val="16"/>
              </w:rPr>
              <w:t>Tier</w:t>
            </w:r>
          </w:p>
        </w:tc>
        <w:tc>
          <w:tcPr>
            <w:tcW w:type="dxa" w:w="2556"/>
            <w:shd w:fill="1F4E78"/>
          </w:tcPr>
          <w:p>
            <w:r>
              <w:rPr>
                <w:b/>
                <w:color w:val="FFFFFF"/>
                <w:sz w:val="16"/>
              </w:rPr>
              <w:t>Name</w:t>
            </w:r>
          </w:p>
        </w:tc>
        <w:tc>
          <w:tcPr>
            <w:tcW w:type="dxa" w:w="2556"/>
            <w:shd w:fill="1F4E78"/>
          </w:tcPr>
          <w:p>
            <w:r>
              <w:rPr>
                <w:b/>
                <w:color w:val="FFFFFF"/>
                <w:sz w:val="16"/>
              </w:rPr>
              <w:t>Entry criteria</w:t>
            </w:r>
          </w:p>
        </w:tc>
        <w:tc>
          <w:tcPr>
            <w:tcW w:type="dxa" w:w="2556"/>
            <w:shd w:fill="1F4E78"/>
          </w:tcPr>
          <w:p>
            <w:r>
              <w:rPr>
                <w:b/>
                <w:color w:val="FFFFFF"/>
                <w:sz w:val="16"/>
              </w:rPr>
              <w:t>Minimum governance</w:t>
            </w:r>
          </w:p>
        </w:tc>
      </w:tr>
      <w:tr>
        <w:tc>
          <w:tcPr>
            <w:tcW w:type="dxa" w:w="2556"/>
            <w:vAlign w:val="top"/>
          </w:tcPr>
          <w:p>
            <w:r>
              <w:rPr>
                <w:sz w:val="15"/>
              </w:rPr>
              <w:t>Tier 1</w:t>
            </w:r>
          </w:p>
        </w:tc>
        <w:tc>
          <w:tcPr>
            <w:tcW w:type="dxa" w:w="2556"/>
            <w:vAlign w:val="top"/>
          </w:tcPr>
          <w:p>
            <w:r>
              <w:rPr>
                <w:sz w:val="15"/>
              </w:rPr>
              <w:t>Administrative or low-impact support</w:t>
            </w:r>
          </w:p>
        </w:tc>
        <w:tc>
          <w:tcPr>
            <w:tcW w:type="dxa" w:w="2556"/>
            <w:vAlign w:val="top"/>
          </w:tcPr>
          <w:p>
            <w:r>
              <w:rPr>
                <w:sz w:val="15"/>
              </w:rPr>
              <w:t>No direct GxP decision or regulated-record effect; reversible; qualified review available.</w:t>
            </w:r>
          </w:p>
        </w:tc>
        <w:tc>
          <w:tcPr>
            <w:tcW w:type="dxa" w:w="2556"/>
            <w:vAlign w:val="top"/>
          </w:tcPr>
          <w:p>
            <w:r>
              <w:rPr>
                <w:sz w:val="15"/>
              </w:rPr>
              <w:t>Inventory, approved use, data handling, access, basic testing, supplier terms and periodic review.</w:t>
            </w:r>
          </w:p>
        </w:tc>
      </w:tr>
      <w:tr>
        <w:tc>
          <w:tcPr>
            <w:tcW w:type="dxa" w:w="2556"/>
            <w:vAlign w:val="top"/>
          </w:tcPr>
          <w:p>
            <w:r>
              <w:rPr>
                <w:sz w:val="15"/>
              </w:rPr>
              <w:t>Tier 2</w:t>
            </w:r>
          </w:p>
        </w:tc>
        <w:tc>
          <w:tcPr>
            <w:tcW w:type="dxa" w:w="2556"/>
            <w:vAlign w:val="top"/>
          </w:tcPr>
          <w:p>
            <w:r>
              <w:rPr>
                <w:sz w:val="15"/>
              </w:rPr>
              <w:t>Controlled operational support</w:t>
            </w:r>
          </w:p>
        </w:tc>
        <w:tc>
          <w:tcPr>
            <w:tcW w:type="dxa" w:w="2556"/>
            <w:vAlign w:val="top"/>
          </w:tcPr>
          <w:p>
            <w:r>
              <w:rPr>
                <w:sz w:val="15"/>
              </w:rPr>
              <w:t>Operational dependency or sensitive data, but limited direct patient/product/regulated-decision impact.</w:t>
            </w:r>
          </w:p>
        </w:tc>
        <w:tc>
          <w:tcPr>
            <w:tcW w:type="dxa" w:w="2556"/>
            <w:vAlign w:val="top"/>
          </w:tcPr>
          <w:p>
            <w:r>
              <w:rPr>
                <w:sz w:val="15"/>
              </w:rPr>
              <w:t>Documented risk assessment, monitoring, change control, fallback and supplier assurance.</w:t>
            </w:r>
          </w:p>
        </w:tc>
      </w:tr>
      <w:tr>
        <w:tc>
          <w:tcPr>
            <w:tcW w:type="dxa" w:w="2556"/>
            <w:vAlign w:val="top"/>
          </w:tcPr>
          <w:p>
            <w:r>
              <w:rPr>
                <w:sz w:val="15"/>
              </w:rPr>
              <w:t>Tier 3</w:t>
            </w:r>
          </w:p>
        </w:tc>
        <w:tc>
          <w:tcPr>
            <w:tcW w:type="dxa" w:w="2556"/>
            <w:vAlign w:val="top"/>
          </w:tcPr>
          <w:p>
            <w:r>
              <w:rPr>
                <w:sz w:val="15"/>
              </w:rPr>
              <w:t>GxP-significant or regulated decision support</w:t>
            </w:r>
          </w:p>
        </w:tc>
        <w:tc>
          <w:tcPr>
            <w:tcW w:type="dxa" w:w="2556"/>
            <w:vAlign w:val="top"/>
          </w:tcPr>
          <w:p>
            <w:r>
              <w:rPr>
                <w:sz w:val="15"/>
              </w:rPr>
              <w:t>Supports regulated records, clinical conduct, safety, quality or submission evidence; human decision remains accountable.</w:t>
            </w:r>
          </w:p>
        </w:tc>
        <w:tc>
          <w:tcPr>
            <w:tcW w:type="dxa" w:w="2556"/>
            <w:vAlign w:val="top"/>
          </w:tcPr>
          <w:p>
            <w:r>
              <w:rPr>
                <w:sz w:val="15"/>
              </w:rPr>
              <w:t>Validation/assurance plan, traceability, qualified review, robust audit trail, periodic review, incident/deviation integration.</w:t>
            </w:r>
          </w:p>
        </w:tc>
      </w:tr>
      <w:tr>
        <w:tc>
          <w:tcPr>
            <w:tcW w:type="dxa" w:w="2556"/>
            <w:vAlign w:val="top"/>
          </w:tcPr>
          <w:p>
            <w:r>
              <w:rPr>
                <w:sz w:val="15"/>
              </w:rPr>
              <w:t>Tier 4</w:t>
            </w:r>
          </w:p>
        </w:tc>
        <w:tc>
          <w:tcPr>
            <w:tcW w:type="dxa" w:w="2556"/>
            <w:vAlign w:val="top"/>
          </w:tcPr>
          <w:p>
            <w:r>
              <w:rPr>
                <w:sz w:val="15"/>
              </w:rPr>
              <w:t>Safety-critical, quality-critical or high-autonomy regulated use</w:t>
            </w:r>
          </w:p>
        </w:tc>
        <w:tc>
          <w:tcPr>
            <w:tcW w:type="dxa" w:w="2556"/>
            <w:vAlign w:val="top"/>
          </w:tcPr>
          <w:p>
            <w:r>
              <w:rPr>
                <w:sz w:val="15"/>
              </w:rPr>
              <w:t>Failure can materially affect patient safety, product quality, critical clinical/safety decisions, or executes high-consequence actions.</w:t>
            </w:r>
          </w:p>
        </w:tc>
        <w:tc>
          <w:tcPr>
            <w:tcW w:type="dxa" w:w="2556"/>
            <w:vAlign w:val="top"/>
          </w:tcPr>
          <w:p>
            <w:r>
              <w:rPr>
                <w:sz w:val="15"/>
              </w:rPr>
              <w:t>Independent approval, rigorous assurance, hard authority limits, continuous monitoring, tested fallback/override, enhanced supplier and incident controls.</w:t>
            </w:r>
          </w:p>
        </w:tc>
      </w:tr>
    </w:tbl>
    <w:p/>
    <w:p>
      <w:pPr>
        <w:pStyle w:val="Heading1"/>
      </w:pPr>
      <w:r>
        <w:t>4. Use-Case Catalogue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1F4E78"/>
          </w:tcPr>
          <w:p>
            <w:r>
              <w:rPr>
                <w:b/>
                <w:color w:val="FFFFFF"/>
                <w:sz w:val="16"/>
              </w:rPr>
              <w:t>ID</w:t>
            </w:r>
          </w:p>
        </w:tc>
        <w:tc>
          <w:tcPr>
            <w:tcW w:type="dxa" w:w="2556"/>
            <w:shd w:fill="1F4E78"/>
          </w:tcPr>
          <w:p>
            <w:r>
              <w:rPr>
                <w:b/>
                <w:color w:val="FFFFFF"/>
                <w:sz w:val="16"/>
              </w:rPr>
              <w:t>Use case</w:t>
            </w:r>
          </w:p>
        </w:tc>
        <w:tc>
          <w:tcPr>
            <w:tcW w:type="dxa" w:w="2556"/>
            <w:shd w:fill="1F4E78"/>
          </w:tcPr>
          <w:p>
            <w:r>
              <w:rPr>
                <w:b/>
                <w:color w:val="FFFFFF"/>
                <w:sz w:val="16"/>
              </w:rPr>
              <w:t>Owner</w:t>
            </w:r>
          </w:p>
        </w:tc>
        <w:tc>
          <w:tcPr>
            <w:tcW w:type="dxa" w:w="2556"/>
            <w:shd w:fill="1F4E78"/>
          </w:tcPr>
          <w:p>
            <w:r>
              <w:rPr>
                <w:b/>
                <w:color w:val="FFFFFF"/>
                <w:sz w:val="16"/>
              </w:rPr>
              <w:t>Indicative criticality</w:t>
            </w:r>
          </w:p>
        </w:tc>
      </w:tr>
      <w:tr>
        <w:tc>
          <w:tcPr>
            <w:tcW w:type="dxa" w:w="2556"/>
            <w:vAlign w:val="top"/>
          </w:tcPr>
          <w:p>
            <w:r>
              <w:rPr>
                <w:sz w:val="15"/>
              </w:rPr>
              <w:t>PHAR-UC-001</w:t>
            </w:r>
          </w:p>
        </w:tc>
        <w:tc>
          <w:tcPr>
            <w:tcW w:type="dxa" w:w="2556"/>
            <w:vAlign w:val="top"/>
          </w:tcPr>
          <w:p>
            <w:r>
              <w:rPr>
                <w:sz w:val="15"/>
              </w:rPr>
              <w:t>Generative AI for regulatory-document drafting</w:t>
            </w:r>
          </w:p>
        </w:tc>
        <w:tc>
          <w:tcPr>
            <w:tcW w:type="dxa" w:w="2556"/>
            <w:vAlign w:val="top"/>
          </w:tcPr>
          <w:p>
            <w:r>
              <w:rPr>
                <w:sz w:val="15"/>
              </w:rPr>
              <w:t>Regulatory Affairs</w:t>
            </w:r>
          </w:p>
        </w:tc>
        <w:tc>
          <w:tcPr>
            <w:tcW w:type="dxa" w:w="2556"/>
            <w:vAlign w:val="top"/>
          </w:tcPr>
          <w:p>
            <w:r>
              <w:rPr>
                <w:sz w:val="15"/>
              </w:rPr>
              <w:t>GxP-significant</w:t>
            </w:r>
          </w:p>
        </w:tc>
      </w:tr>
      <w:tr>
        <w:tc>
          <w:tcPr>
            <w:tcW w:type="dxa" w:w="2556"/>
            <w:vAlign w:val="top"/>
          </w:tcPr>
          <w:p>
            <w:r>
              <w:rPr>
                <w:sz w:val="15"/>
              </w:rPr>
              <w:t>PHAR-UC-002</w:t>
            </w:r>
          </w:p>
        </w:tc>
        <w:tc>
          <w:tcPr>
            <w:tcW w:type="dxa" w:w="2556"/>
            <w:vAlign w:val="top"/>
          </w:tcPr>
          <w:p>
            <w:r>
              <w:rPr>
                <w:sz w:val="15"/>
              </w:rPr>
              <w:t>AI-assisted medical writing</w:t>
            </w:r>
          </w:p>
        </w:tc>
        <w:tc>
          <w:tcPr>
            <w:tcW w:type="dxa" w:w="2556"/>
            <w:vAlign w:val="top"/>
          </w:tcPr>
          <w:p>
            <w:r>
              <w:rPr>
                <w:sz w:val="15"/>
              </w:rPr>
              <w:t>Medical Affairs</w:t>
            </w:r>
          </w:p>
        </w:tc>
        <w:tc>
          <w:tcPr>
            <w:tcW w:type="dxa" w:w="2556"/>
            <w:vAlign w:val="top"/>
          </w:tcPr>
          <w:p>
            <w:r>
              <w:rPr>
                <w:sz w:val="15"/>
              </w:rPr>
              <w:t>Controlled operational</w:t>
            </w:r>
          </w:p>
        </w:tc>
      </w:tr>
      <w:tr>
        <w:tc>
          <w:tcPr>
            <w:tcW w:type="dxa" w:w="2556"/>
            <w:vAlign w:val="top"/>
          </w:tcPr>
          <w:p>
            <w:r>
              <w:rPr>
                <w:sz w:val="15"/>
              </w:rPr>
              <w:t>PHAR-UC-003</w:t>
            </w:r>
          </w:p>
        </w:tc>
        <w:tc>
          <w:tcPr>
            <w:tcW w:type="dxa" w:w="2556"/>
            <w:vAlign w:val="top"/>
          </w:tcPr>
          <w:p>
            <w:r>
              <w:rPr>
                <w:sz w:val="15"/>
              </w:rPr>
              <w:t>Clinical protocol generation</w:t>
            </w:r>
          </w:p>
        </w:tc>
        <w:tc>
          <w:tcPr>
            <w:tcW w:type="dxa" w:w="2556"/>
            <w:vAlign w:val="top"/>
          </w:tcPr>
          <w:p>
            <w:r>
              <w:rPr>
                <w:sz w:val="15"/>
              </w:rPr>
              <w:t>Clinical Development</w:t>
            </w:r>
          </w:p>
        </w:tc>
        <w:tc>
          <w:tcPr>
            <w:tcW w:type="dxa" w:w="2556"/>
            <w:vAlign w:val="top"/>
          </w:tcPr>
          <w:p>
            <w:r>
              <w:rPr>
                <w:sz w:val="15"/>
              </w:rPr>
              <w:t>GxP-significant</w:t>
            </w:r>
          </w:p>
        </w:tc>
      </w:tr>
      <w:tr>
        <w:tc>
          <w:tcPr>
            <w:tcW w:type="dxa" w:w="2556"/>
            <w:vAlign w:val="top"/>
          </w:tcPr>
          <w:p>
            <w:r>
              <w:rPr>
                <w:sz w:val="15"/>
              </w:rPr>
              <w:t>PHAR-UC-004</w:t>
            </w:r>
          </w:p>
        </w:tc>
        <w:tc>
          <w:tcPr>
            <w:tcW w:type="dxa" w:w="2556"/>
            <w:vAlign w:val="top"/>
          </w:tcPr>
          <w:p>
            <w:r>
              <w:rPr>
                <w:sz w:val="15"/>
              </w:rPr>
              <w:t>Participant recruitment and eligibility screening</w:t>
            </w:r>
          </w:p>
        </w:tc>
        <w:tc>
          <w:tcPr>
            <w:tcW w:type="dxa" w:w="2556"/>
            <w:vAlign w:val="top"/>
          </w:tcPr>
          <w:p>
            <w:r>
              <w:rPr>
                <w:sz w:val="15"/>
              </w:rPr>
              <w:t>Clinical Operations</w:t>
            </w:r>
          </w:p>
        </w:tc>
        <w:tc>
          <w:tcPr>
            <w:tcW w:type="dxa" w:w="2556"/>
            <w:vAlign w:val="top"/>
          </w:tcPr>
          <w:p>
            <w:r>
              <w:rPr>
                <w:sz w:val="15"/>
              </w:rPr>
              <w:t>Safety-significant</w:t>
            </w:r>
          </w:p>
        </w:tc>
      </w:tr>
      <w:tr>
        <w:tc>
          <w:tcPr>
            <w:tcW w:type="dxa" w:w="2556"/>
            <w:vAlign w:val="top"/>
          </w:tcPr>
          <w:p>
            <w:r>
              <w:rPr>
                <w:sz w:val="15"/>
              </w:rPr>
              <w:t>PHAR-UC-005</w:t>
            </w:r>
          </w:p>
        </w:tc>
        <w:tc>
          <w:tcPr>
            <w:tcW w:type="dxa" w:w="2556"/>
            <w:vAlign w:val="top"/>
          </w:tcPr>
          <w:p>
            <w:r>
              <w:rPr>
                <w:sz w:val="15"/>
              </w:rPr>
              <w:t>Clinical-site selection</w:t>
            </w:r>
          </w:p>
        </w:tc>
        <w:tc>
          <w:tcPr>
            <w:tcW w:type="dxa" w:w="2556"/>
            <w:vAlign w:val="top"/>
          </w:tcPr>
          <w:p>
            <w:r>
              <w:rPr>
                <w:sz w:val="15"/>
              </w:rPr>
              <w:t>Clinical Operations</w:t>
            </w:r>
          </w:p>
        </w:tc>
        <w:tc>
          <w:tcPr>
            <w:tcW w:type="dxa" w:w="2556"/>
            <w:vAlign w:val="top"/>
          </w:tcPr>
          <w:p>
            <w:r>
              <w:rPr>
                <w:sz w:val="15"/>
              </w:rPr>
              <w:t>Controlled operational</w:t>
            </w:r>
          </w:p>
        </w:tc>
      </w:tr>
      <w:tr>
        <w:tc>
          <w:tcPr>
            <w:tcW w:type="dxa" w:w="2556"/>
            <w:vAlign w:val="top"/>
          </w:tcPr>
          <w:p>
            <w:r>
              <w:rPr>
                <w:sz w:val="15"/>
              </w:rPr>
              <w:t>PHAR-UC-006</w:t>
            </w:r>
          </w:p>
        </w:tc>
        <w:tc>
          <w:tcPr>
            <w:tcW w:type="dxa" w:w="2556"/>
            <w:vAlign w:val="top"/>
          </w:tcPr>
          <w:p>
            <w:r>
              <w:rPr>
                <w:sz w:val="15"/>
              </w:rPr>
              <w:t>Clinical-data anomaly detection</w:t>
            </w:r>
          </w:p>
        </w:tc>
        <w:tc>
          <w:tcPr>
            <w:tcW w:type="dxa" w:w="2556"/>
            <w:vAlign w:val="top"/>
          </w:tcPr>
          <w:p>
            <w:r>
              <w:rPr>
                <w:sz w:val="15"/>
              </w:rPr>
              <w:t>Clinical Data Management</w:t>
            </w:r>
          </w:p>
        </w:tc>
        <w:tc>
          <w:tcPr>
            <w:tcW w:type="dxa" w:w="2556"/>
            <w:vAlign w:val="top"/>
          </w:tcPr>
          <w:p>
            <w:r>
              <w:rPr>
                <w:sz w:val="15"/>
              </w:rPr>
              <w:t>GxP-significant</w:t>
            </w:r>
          </w:p>
        </w:tc>
      </w:tr>
      <w:tr>
        <w:tc>
          <w:tcPr>
            <w:tcW w:type="dxa" w:w="2556"/>
            <w:vAlign w:val="top"/>
          </w:tcPr>
          <w:p>
            <w:r>
              <w:rPr>
                <w:sz w:val="15"/>
              </w:rPr>
              <w:t>PHAR-UC-007</w:t>
            </w:r>
          </w:p>
        </w:tc>
        <w:tc>
          <w:tcPr>
            <w:tcW w:type="dxa" w:w="2556"/>
            <w:vAlign w:val="top"/>
          </w:tcPr>
          <w:p>
            <w:r>
              <w:rPr>
                <w:sz w:val="15"/>
              </w:rPr>
              <w:t>Synthetic control arms</w:t>
            </w:r>
          </w:p>
        </w:tc>
        <w:tc>
          <w:tcPr>
            <w:tcW w:type="dxa" w:w="2556"/>
            <w:vAlign w:val="top"/>
          </w:tcPr>
          <w:p>
            <w:r>
              <w:rPr>
                <w:sz w:val="15"/>
              </w:rPr>
              <w:t>Biostatistics</w:t>
            </w:r>
          </w:p>
        </w:tc>
        <w:tc>
          <w:tcPr>
            <w:tcW w:type="dxa" w:w="2556"/>
            <w:vAlign w:val="top"/>
          </w:tcPr>
          <w:p>
            <w:r>
              <w:rPr>
                <w:sz w:val="15"/>
              </w:rPr>
              <w:t>Safety-significant</w:t>
            </w:r>
          </w:p>
        </w:tc>
      </w:tr>
      <w:tr>
        <w:tc>
          <w:tcPr>
            <w:tcW w:type="dxa" w:w="2556"/>
            <w:vAlign w:val="top"/>
          </w:tcPr>
          <w:p>
            <w:r>
              <w:rPr>
                <w:sz w:val="15"/>
              </w:rPr>
              <w:t>PHAR-UC-008</w:t>
            </w:r>
          </w:p>
        </w:tc>
        <w:tc>
          <w:tcPr>
            <w:tcW w:type="dxa" w:w="2556"/>
            <w:vAlign w:val="top"/>
          </w:tcPr>
          <w:p>
            <w:r>
              <w:rPr>
                <w:sz w:val="15"/>
              </w:rPr>
              <w:t>Medical image analysis in trials</w:t>
            </w:r>
          </w:p>
        </w:tc>
        <w:tc>
          <w:tcPr>
            <w:tcW w:type="dxa" w:w="2556"/>
            <w:vAlign w:val="top"/>
          </w:tcPr>
          <w:p>
            <w:r>
              <w:rPr>
                <w:sz w:val="15"/>
              </w:rPr>
              <w:t>Clinical Development</w:t>
            </w:r>
          </w:p>
        </w:tc>
        <w:tc>
          <w:tcPr>
            <w:tcW w:type="dxa" w:w="2556"/>
            <w:vAlign w:val="top"/>
          </w:tcPr>
          <w:p>
            <w:r>
              <w:rPr>
                <w:sz w:val="15"/>
              </w:rPr>
              <w:t>Safety-significant</w:t>
            </w:r>
          </w:p>
        </w:tc>
      </w:tr>
      <w:tr>
        <w:tc>
          <w:tcPr>
            <w:tcW w:type="dxa" w:w="2556"/>
            <w:vAlign w:val="top"/>
          </w:tcPr>
          <w:p>
            <w:r>
              <w:rPr>
                <w:sz w:val="15"/>
              </w:rPr>
              <w:t>PHAR-UC-009</w:t>
            </w:r>
          </w:p>
        </w:tc>
        <w:tc>
          <w:tcPr>
            <w:tcW w:type="dxa" w:w="2556"/>
            <w:vAlign w:val="top"/>
          </w:tcPr>
          <w:p>
            <w:r>
              <w:rPr>
                <w:sz w:val="15"/>
              </w:rPr>
              <w:t>Adverse-event intake automation</w:t>
            </w:r>
          </w:p>
        </w:tc>
        <w:tc>
          <w:tcPr>
            <w:tcW w:type="dxa" w:w="2556"/>
            <w:vAlign w:val="top"/>
          </w:tcPr>
          <w:p>
            <w:r>
              <w:rPr>
                <w:sz w:val="15"/>
              </w:rPr>
              <w:t>Pharmacovigilance</w:t>
            </w:r>
          </w:p>
        </w:tc>
        <w:tc>
          <w:tcPr>
            <w:tcW w:type="dxa" w:w="2556"/>
            <w:vAlign w:val="top"/>
          </w:tcPr>
          <w:p>
            <w:r>
              <w:rPr>
                <w:sz w:val="15"/>
              </w:rPr>
              <w:t>Safety-significant</w:t>
            </w:r>
          </w:p>
        </w:tc>
      </w:tr>
      <w:tr>
        <w:tc>
          <w:tcPr>
            <w:tcW w:type="dxa" w:w="2556"/>
            <w:vAlign w:val="top"/>
          </w:tcPr>
          <w:p>
            <w:r>
              <w:rPr>
                <w:sz w:val="15"/>
              </w:rPr>
              <w:t>PHAR-UC-010</w:t>
            </w:r>
          </w:p>
        </w:tc>
        <w:tc>
          <w:tcPr>
            <w:tcW w:type="dxa" w:w="2556"/>
            <w:vAlign w:val="top"/>
          </w:tcPr>
          <w:p>
            <w:r>
              <w:rPr>
                <w:sz w:val="15"/>
              </w:rPr>
              <w:t>Adverse-event coding assistance</w:t>
            </w:r>
          </w:p>
        </w:tc>
        <w:tc>
          <w:tcPr>
            <w:tcW w:type="dxa" w:w="2556"/>
            <w:vAlign w:val="top"/>
          </w:tcPr>
          <w:p>
            <w:r>
              <w:rPr>
                <w:sz w:val="15"/>
              </w:rPr>
              <w:t>Pharmacovigilance</w:t>
            </w:r>
          </w:p>
        </w:tc>
        <w:tc>
          <w:tcPr>
            <w:tcW w:type="dxa" w:w="2556"/>
            <w:vAlign w:val="top"/>
          </w:tcPr>
          <w:p>
            <w:r>
              <w:rPr>
                <w:sz w:val="15"/>
              </w:rPr>
              <w:t>GxP-significant</w:t>
            </w:r>
          </w:p>
        </w:tc>
      </w:tr>
      <w:tr>
        <w:tc>
          <w:tcPr>
            <w:tcW w:type="dxa" w:w="2556"/>
            <w:vAlign w:val="top"/>
          </w:tcPr>
          <w:p>
            <w:r>
              <w:rPr>
                <w:sz w:val="15"/>
              </w:rPr>
              <w:t>PHAR-UC-011</w:t>
            </w:r>
          </w:p>
        </w:tc>
        <w:tc>
          <w:tcPr>
            <w:tcW w:type="dxa" w:w="2556"/>
            <w:vAlign w:val="top"/>
          </w:tcPr>
          <w:p>
            <w:r>
              <w:rPr>
                <w:sz w:val="15"/>
              </w:rPr>
              <w:t>Pharmacovigilance case prioritisation</w:t>
            </w:r>
          </w:p>
        </w:tc>
        <w:tc>
          <w:tcPr>
            <w:tcW w:type="dxa" w:w="2556"/>
            <w:vAlign w:val="top"/>
          </w:tcPr>
          <w:p>
            <w:r>
              <w:rPr>
                <w:sz w:val="15"/>
              </w:rPr>
              <w:t>Pharmacovigilance</w:t>
            </w:r>
          </w:p>
        </w:tc>
        <w:tc>
          <w:tcPr>
            <w:tcW w:type="dxa" w:w="2556"/>
            <w:vAlign w:val="top"/>
          </w:tcPr>
          <w:p>
            <w:r>
              <w:rPr>
                <w:sz w:val="15"/>
              </w:rPr>
              <w:t>Safety-critical</w:t>
            </w:r>
          </w:p>
        </w:tc>
      </w:tr>
      <w:tr>
        <w:tc>
          <w:tcPr>
            <w:tcW w:type="dxa" w:w="2556"/>
            <w:vAlign w:val="top"/>
          </w:tcPr>
          <w:p>
            <w:r>
              <w:rPr>
                <w:sz w:val="15"/>
              </w:rPr>
              <w:t>PHAR-UC-012</w:t>
            </w:r>
          </w:p>
        </w:tc>
        <w:tc>
          <w:tcPr>
            <w:tcW w:type="dxa" w:w="2556"/>
            <w:vAlign w:val="top"/>
          </w:tcPr>
          <w:p>
            <w:r>
              <w:rPr>
                <w:sz w:val="15"/>
              </w:rPr>
              <w:t>Safety signal detection</w:t>
            </w:r>
          </w:p>
        </w:tc>
        <w:tc>
          <w:tcPr>
            <w:tcW w:type="dxa" w:w="2556"/>
            <w:vAlign w:val="top"/>
          </w:tcPr>
          <w:p>
            <w:r>
              <w:rPr>
                <w:sz w:val="15"/>
              </w:rPr>
              <w:t>Pharmacovigilance</w:t>
            </w:r>
          </w:p>
        </w:tc>
        <w:tc>
          <w:tcPr>
            <w:tcW w:type="dxa" w:w="2556"/>
            <w:vAlign w:val="top"/>
          </w:tcPr>
          <w:p>
            <w:r>
              <w:rPr>
                <w:sz w:val="15"/>
              </w:rPr>
              <w:t>Safety-critical</w:t>
            </w:r>
          </w:p>
        </w:tc>
      </w:tr>
      <w:tr>
        <w:tc>
          <w:tcPr>
            <w:tcW w:type="dxa" w:w="2556"/>
            <w:vAlign w:val="top"/>
          </w:tcPr>
          <w:p>
            <w:r>
              <w:rPr>
                <w:sz w:val="15"/>
              </w:rPr>
              <w:t>PHAR-UC-013</w:t>
            </w:r>
          </w:p>
        </w:tc>
        <w:tc>
          <w:tcPr>
            <w:tcW w:type="dxa" w:w="2556"/>
            <w:vAlign w:val="top"/>
          </w:tcPr>
          <w:p>
            <w:r>
              <w:rPr>
                <w:sz w:val="15"/>
              </w:rPr>
              <w:t>Literature surveillance</w:t>
            </w:r>
          </w:p>
        </w:tc>
        <w:tc>
          <w:tcPr>
            <w:tcW w:type="dxa" w:w="2556"/>
            <w:vAlign w:val="top"/>
          </w:tcPr>
          <w:p>
            <w:r>
              <w:rPr>
                <w:sz w:val="15"/>
              </w:rPr>
              <w:t>Pharmacovigilance</w:t>
            </w:r>
          </w:p>
        </w:tc>
        <w:tc>
          <w:tcPr>
            <w:tcW w:type="dxa" w:w="2556"/>
            <w:vAlign w:val="top"/>
          </w:tcPr>
          <w:p>
            <w:r>
              <w:rPr>
                <w:sz w:val="15"/>
              </w:rPr>
              <w:t>GxP-significant</w:t>
            </w:r>
          </w:p>
        </w:tc>
      </w:tr>
      <w:tr>
        <w:tc>
          <w:tcPr>
            <w:tcW w:type="dxa" w:w="2556"/>
            <w:vAlign w:val="top"/>
          </w:tcPr>
          <w:p>
            <w:r>
              <w:rPr>
                <w:sz w:val="15"/>
              </w:rPr>
              <w:t>PHAR-UC-014</w:t>
            </w:r>
          </w:p>
        </w:tc>
        <w:tc>
          <w:tcPr>
            <w:tcW w:type="dxa" w:w="2556"/>
            <w:vAlign w:val="top"/>
          </w:tcPr>
          <w:p>
            <w:r>
              <w:rPr>
                <w:sz w:val="15"/>
              </w:rPr>
              <w:t>Benefit-risk analysis support</w:t>
            </w:r>
          </w:p>
        </w:tc>
        <w:tc>
          <w:tcPr>
            <w:tcW w:type="dxa" w:w="2556"/>
            <w:vAlign w:val="top"/>
          </w:tcPr>
          <w:p>
            <w:r>
              <w:rPr>
                <w:sz w:val="15"/>
              </w:rPr>
              <w:t>Safety Governance</w:t>
            </w:r>
          </w:p>
        </w:tc>
        <w:tc>
          <w:tcPr>
            <w:tcW w:type="dxa" w:w="2556"/>
            <w:vAlign w:val="top"/>
          </w:tcPr>
          <w:p>
            <w:r>
              <w:rPr>
                <w:sz w:val="15"/>
              </w:rPr>
              <w:t>Safety-critical</w:t>
            </w:r>
          </w:p>
        </w:tc>
      </w:tr>
      <w:tr>
        <w:tc>
          <w:tcPr>
            <w:tcW w:type="dxa" w:w="2556"/>
            <w:vAlign w:val="top"/>
          </w:tcPr>
          <w:p>
            <w:r>
              <w:rPr>
                <w:sz w:val="15"/>
              </w:rPr>
              <w:t>PHAR-UC-015</w:t>
            </w:r>
          </w:p>
        </w:tc>
        <w:tc>
          <w:tcPr>
            <w:tcW w:type="dxa" w:w="2556"/>
            <w:vAlign w:val="top"/>
          </w:tcPr>
          <w:p>
            <w:r>
              <w:rPr>
                <w:sz w:val="15"/>
              </w:rPr>
              <w:t>Target identification</w:t>
            </w:r>
          </w:p>
        </w:tc>
        <w:tc>
          <w:tcPr>
            <w:tcW w:type="dxa" w:w="2556"/>
            <w:vAlign w:val="top"/>
          </w:tcPr>
          <w:p>
            <w:r>
              <w:rPr>
                <w:sz w:val="15"/>
              </w:rPr>
              <w:t>Discovery Research</w:t>
            </w:r>
          </w:p>
        </w:tc>
        <w:tc>
          <w:tcPr>
            <w:tcW w:type="dxa" w:w="2556"/>
            <w:vAlign w:val="top"/>
          </w:tcPr>
          <w:p>
            <w:r>
              <w:rPr>
                <w:sz w:val="15"/>
              </w:rPr>
              <w:t>Research</w:t>
            </w:r>
          </w:p>
        </w:tc>
      </w:tr>
      <w:tr>
        <w:tc>
          <w:tcPr>
            <w:tcW w:type="dxa" w:w="2556"/>
            <w:vAlign w:val="top"/>
          </w:tcPr>
          <w:p>
            <w:r>
              <w:rPr>
                <w:sz w:val="15"/>
              </w:rPr>
              <w:t>PHAR-UC-016</w:t>
            </w:r>
          </w:p>
        </w:tc>
        <w:tc>
          <w:tcPr>
            <w:tcW w:type="dxa" w:w="2556"/>
            <w:vAlign w:val="top"/>
          </w:tcPr>
          <w:p>
            <w:r>
              <w:rPr>
                <w:sz w:val="15"/>
              </w:rPr>
              <w:t>Molecular generation</w:t>
            </w:r>
          </w:p>
        </w:tc>
        <w:tc>
          <w:tcPr>
            <w:tcW w:type="dxa" w:w="2556"/>
            <w:vAlign w:val="top"/>
          </w:tcPr>
          <w:p>
            <w:r>
              <w:rPr>
                <w:sz w:val="15"/>
              </w:rPr>
              <w:t>Discovery Research</w:t>
            </w:r>
          </w:p>
        </w:tc>
        <w:tc>
          <w:tcPr>
            <w:tcW w:type="dxa" w:w="2556"/>
            <w:vAlign w:val="top"/>
          </w:tcPr>
          <w:p>
            <w:r>
              <w:rPr>
                <w:sz w:val="15"/>
              </w:rPr>
              <w:t>Research</w:t>
            </w:r>
          </w:p>
        </w:tc>
      </w:tr>
      <w:tr>
        <w:tc>
          <w:tcPr>
            <w:tcW w:type="dxa" w:w="2556"/>
            <w:vAlign w:val="top"/>
          </w:tcPr>
          <w:p>
            <w:r>
              <w:rPr>
                <w:sz w:val="15"/>
              </w:rPr>
              <w:t>PHAR-UC-017</w:t>
            </w:r>
          </w:p>
        </w:tc>
        <w:tc>
          <w:tcPr>
            <w:tcW w:type="dxa" w:w="2556"/>
            <w:vAlign w:val="top"/>
          </w:tcPr>
          <w:p>
            <w:r>
              <w:rPr>
                <w:sz w:val="15"/>
              </w:rPr>
              <w:t>Compound screening</w:t>
            </w:r>
          </w:p>
        </w:tc>
        <w:tc>
          <w:tcPr>
            <w:tcW w:type="dxa" w:w="2556"/>
            <w:vAlign w:val="top"/>
          </w:tcPr>
          <w:p>
            <w:r>
              <w:rPr>
                <w:sz w:val="15"/>
              </w:rPr>
              <w:t>Discovery Research</w:t>
            </w:r>
          </w:p>
        </w:tc>
        <w:tc>
          <w:tcPr>
            <w:tcW w:type="dxa" w:w="2556"/>
            <w:vAlign w:val="top"/>
          </w:tcPr>
          <w:p>
            <w:r>
              <w:rPr>
                <w:sz w:val="15"/>
              </w:rPr>
              <w:t>Research</w:t>
            </w:r>
          </w:p>
        </w:tc>
      </w:tr>
      <w:tr>
        <w:tc>
          <w:tcPr>
            <w:tcW w:type="dxa" w:w="2556"/>
            <w:vAlign w:val="top"/>
          </w:tcPr>
          <w:p>
            <w:r>
              <w:rPr>
                <w:sz w:val="15"/>
              </w:rPr>
              <w:t>PHAR-UC-018</w:t>
            </w:r>
          </w:p>
        </w:tc>
        <w:tc>
          <w:tcPr>
            <w:tcW w:type="dxa" w:w="2556"/>
            <w:vAlign w:val="top"/>
          </w:tcPr>
          <w:p>
            <w:r>
              <w:rPr>
                <w:sz w:val="15"/>
              </w:rPr>
              <w:t>Toxicology prediction</w:t>
            </w:r>
          </w:p>
        </w:tc>
        <w:tc>
          <w:tcPr>
            <w:tcW w:type="dxa" w:w="2556"/>
            <w:vAlign w:val="top"/>
          </w:tcPr>
          <w:p>
            <w:r>
              <w:rPr>
                <w:sz w:val="15"/>
              </w:rPr>
              <w:t>Preclinical Safety</w:t>
            </w:r>
          </w:p>
        </w:tc>
        <w:tc>
          <w:tcPr>
            <w:tcW w:type="dxa" w:w="2556"/>
            <w:vAlign w:val="top"/>
          </w:tcPr>
          <w:p>
            <w:r>
              <w:rPr>
                <w:sz w:val="15"/>
              </w:rPr>
              <w:t>Safety-significant</w:t>
            </w:r>
          </w:p>
        </w:tc>
      </w:tr>
      <w:tr>
        <w:tc>
          <w:tcPr>
            <w:tcW w:type="dxa" w:w="2556"/>
            <w:vAlign w:val="top"/>
          </w:tcPr>
          <w:p>
            <w:r>
              <w:rPr>
                <w:sz w:val="15"/>
              </w:rPr>
              <w:t>PHAR-UC-019</w:t>
            </w:r>
          </w:p>
        </w:tc>
        <w:tc>
          <w:tcPr>
            <w:tcW w:type="dxa" w:w="2556"/>
            <w:vAlign w:val="top"/>
          </w:tcPr>
          <w:p>
            <w:r>
              <w:rPr>
                <w:sz w:val="15"/>
              </w:rPr>
              <w:t>Formulation optimisation</w:t>
            </w:r>
          </w:p>
        </w:tc>
        <w:tc>
          <w:tcPr>
            <w:tcW w:type="dxa" w:w="2556"/>
            <w:vAlign w:val="top"/>
          </w:tcPr>
          <w:p>
            <w:r>
              <w:rPr>
                <w:sz w:val="15"/>
              </w:rPr>
              <w:t>Pharmaceutical Development</w:t>
            </w:r>
          </w:p>
        </w:tc>
        <w:tc>
          <w:tcPr>
            <w:tcW w:type="dxa" w:w="2556"/>
            <w:vAlign w:val="top"/>
          </w:tcPr>
          <w:p>
            <w:r>
              <w:rPr>
                <w:sz w:val="15"/>
              </w:rPr>
              <w:t>GxP-significant</w:t>
            </w:r>
          </w:p>
        </w:tc>
      </w:tr>
      <w:tr>
        <w:tc>
          <w:tcPr>
            <w:tcW w:type="dxa" w:w="2556"/>
            <w:vAlign w:val="top"/>
          </w:tcPr>
          <w:p>
            <w:r>
              <w:rPr>
                <w:sz w:val="15"/>
              </w:rPr>
              <w:t>PHAR-UC-020</w:t>
            </w:r>
          </w:p>
        </w:tc>
        <w:tc>
          <w:tcPr>
            <w:tcW w:type="dxa" w:w="2556"/>
            <w:vAlign w:val="top"/>
          </w:tcPr>
          <w:p>
            <w:r>
              <w:rPr>
                <w:sz w:val="15"/>
              </w:rPr>
              <w:t>Manufacturing process optimisation</w:t>
            </w:r>
          </w:p>
        </w:tc>
        <w:tc>
          <w:tcPr>
            <w:tcW w:type="dxa" w:w="2556"/>
            <w:vAlign w:val="top"/>
          </w:tcPr>
          <w:p>
            <w:r>
              <w:rPr>
                <w:sz w:val="15"/>
              </w:rPr>
              <w:t>Manufacturing Science</w:t>
            </w:r>
          </w:p>
        </w:tc>
        <w:tc>
          <w:tcPr>
            <w:tcW w:type="dxa" w:w="2556"/>
            <w:vAlign w:val="top"/>
          </w:tcPr>
          <w:p>
            <w:r>
              <w:rPr>
                <w:sz w:val="15"/>
              </w:rPr>
              <w:t>Quality-critical</w:t>
            </w:r>
          </w:p>
        </w:tc>
      </w:tr>
      <w:tr>
        <w:tc>
          <w:tcPr>
            <w:tcW w:type="dxa" w:w="2556"/>
            <w:vAlign w:val="top"/>
          </w:tcPr>
          <w:p>
            <w:r>
              <w:rPr>
                <w:sz w:val="15"/>
              </w:rPr>
              <w:t>PHAR-UC-021</w:t>
            </w:r>
          </w:p>
        </w:tc>
        <w:tc>
          <w:tcPr>
            <w:tcW w:type="dxa" w:w="2556"/>
            <w:vAlign w:val="top"/>
          </w:tcPr>
          <w:p>
            <w:r>
              <w:rPr>
                <w:sz w:val="15"/>
              </w:rPr>
              <w:t>Batch record review</w:t>
            </w:r>
          </w:p>
        </w:tc>
        <w:tc>
          <w:tcPr>
            <w:tcW w:type="dxa" w:w="2556"/>
            <w:vAlign w:val="top"/>
          </w:tcPr>
          <w:p>
            <w:r>
              <w:rPr>
                <w:sz w:val="15"/>
              </w:rPr>
              <w:t>Quality Assurance</w:t>
            </w:r>
          </w:p>
        </w:tc>
        <w:tc>
          <w:tcPr>
            <w:tcW w:type="dxa" w:w="2556"/>
            <w:vAlign w:val="top"/>
          </w:tcPr>
          <w:p>
            <w:r>
              <w:rPr>
                <w:sz w:val="15"/>
              </w:rPr>
              <w:t>Quality-critical</w:t>
            </w:r>
          </w:p>
        </w:tc>
      </w:tr>
      <w:tr>
        <w:tc>
          <w:tcPr>
            <w:tcW w:type="dxa" w:w="2556"/>
            <w:vAlign w:val="top"/>
          </w:tcPr>
          <w:p>
            <w:r>
              <w:rPr>
                <w:sz w:val="15"/>
              </w:rPr>
              <w:t>PHAR-UC-022</w:t>
            </w:r>
          </w:p>
        </w:tc>
        <w:tc>
          <w:tcPr>
            <w:tcW w:type="dxa" w:w="2556"/>
            <w:vAlign w:val="top"/>
          </w:tcPr>
          <w:p>
            <w:r>
              <w:rPr>
                <w:sz w:val="15"/>
              </w:rPr>
              <w:t>Predictive maintenance</w:t>
            </w:r>
          </w:p>
        </w:tc>
        <w:tc>
          <w:tcPr>
            <w:tcW w:type="dxa" w:w="2556"/>
            <w:vAlign w:val="top"/>
          </w:tcPr>
          <w:p>
            <w:r>
              <w:rPr>
                <w:sz w:val="15"/>
              </w:rPr>
              <w:t>Engineering</w:t>
            </w:r>
          </w:p>
        </w:tc>
        <w:tc>
          <w:tcPr>
            <w:tcW w:type="dxa" w:w="2556"/>
            <w:vAlign w:val="top"/>
          </w:tcPr>
          <w:p>
            <w:r>
              <w:rPr>
                <w:sz w:val="15"/>
              </w:rPr>
              <w:t>Controlled operational</w:t>
            </w:r>
          </w:p>
        </w:tc>
      </w:tr>
      <w:tr>
        <w:tc>
          <w:tcPr>
            <w:tcW w:type="dxa" w:w="2556"/>
            <w:vAlign w:val="top"/>
          </w:tcPr>
          <w:p>
            <w:r>
              <w:rPr>
                <w:sz w:val="15"/>
              </w:rPr>
              <w:t>PHAR-UC-023</w:t>
            </w:r>
          </w:p>
        </w:tc>
        <w:tc>
          <w:tcPr>
            <w:tcW w:type="dxa" w:w="2556"/>
            <w:vAlign w:val="top"/>
          </w:tcPr>
          <w:p>
            <w:r>
              <w:rPr>
                <w:sz w:val="15"/>
              </w:rPr>
              <w:t>Automated visual inspection</w:t>
            </w:r>
          </w:p>
        </w:tc>
        <w:tc>
          <w:tcPr>
            <w:tcW w:type="dxa" w:w="2556"/>
            <w:vAlign w:val="top"/>
          </w:tcPr>
          <w:p>
            <w:r>
              <w:rPr>
                <w:sz w:val="15"/>
              </w:rPr>
              <w:t>Quality Control</w:t>
            </w:r>
          </w:p>
        </w:tc>
        <w:tc>
          <w:tcPr>
            <w:tcW w:type="dxa" w:w="2556"/>
            <w:vAlign w:val="top"/>
          </w:tcPr>
          <w:p>
            <w:r>
              <w:rPr>
                <w:sz w:val="15"/>
              </w:rPr>
              <w:t>Quality-critical</w:t>
            </w:r>
          </w:p>
        </w:tc>
      </w:tr>
      <w:tr>
        <w:tc>
          <w:tcPr>
            <w:tcW w:type="dxa" w:w="2556"/>
            <w:vAlign w:val="top"/>
          </w:tcPr>
          <w:p>
            <w:r>
              <w:rPr>
                <w:sz w:val="15"/>
              </w:rPr>
              <w:t>PHAR-UC-024</w:t>
            </w:r>
          </w:p>
        </w:tc>
        <w:tc>
          <w:tcPr>
            <w:tcW w:type="dxa" w:w="2556"/>
            <w:vAlign w:val="top"/>
          </w:tcPr>
          <w:p>
            <w:r>
              <w:rPr>
                <w:sz w:val="15"/>
              </w:rPr>
              <w:t>Environmental monitoring analytics</w:t>
            </w:r>
          </w:p>
        </w:tc>
        <w:tc>
          <w:tcPr>
            <w:tcW w:type="dxa" w:w="2556"/>
            <w:vAlign w:val="top"/>
          </w:tcPr>
          <w:p>
            <w:r>
              <w:rPr>
                <w:sz w:val="15"/>
              </w:rPr>
              <w:t>Microbiology / Quality</w:t>
            </w:r>
          </w:p>
        </w:tc>
        <w:tc>
          <w:tcPr>
            <w:tcW w:type="dxa" w:w="2556"/>
            <w:vAlign w:val="top"/>
          </w:tcPr>
          <w:p>
            <w:r>
              <w:rPr>
                <w:sz w:val="15"/>
              </w:rPr>
              <w:t>Quality-critical</w:t>
            </w:r>
          </w:p>
        </w:tc>
      </w:tr>
      <w:tr>
        <w:tc>
          <w:tcPr>
            <w:tcW w:type="dxa" w:w="2556"/>
            <w:vAlign w:val="top"/>
          </w:tcPr>
          <w:p>
            <w:r>
              <w:rPr>
                <w:sz w:val="15"/>
              </w:rPr>
              <w:t>PHAR-UC-025</w:t>
            </w:r>
          </w:p>
        </w:tc>
        <w:tc>
          <w:tcPr>
            <w:tcW w:type="dxa" w:w="2556"/>
            <w:vAlign w:val="top"/>
          </w:tcPr>
          <w:p>
            <w:r>
              <w:rPr>
                <w:sz w:val="15"/>
              </w:rPr>
              <w:t>Laboratory result interpretation</w:t>
            </w:r>
          </w:p>
        </w:tc>
        <w:tc>
          <w:tcPr>
            <w:tcW w:type="dxa" w:w="2556"/>
            <w:vAlign w:val="top"/>
          </w:tcPr>
          <w:p>
            <w:r>
              <w:rPr>
                <w:sz w:val="15"/>
              </w:rPr>
              <w:t>Quality Control</w:t>
            </w:r>
          </w:p>
        </w:tc>
        <w:tc>
          <w:tcPr>
            <w:tcW w:type="dxa" w:w="2556"/>
            <w:vAlign w:val="top"/>
          </w:tcPr>
          <w:p>
            <w:r>
              <w:rPr>
                <w:sz w:val="15"/>
              </w:rPr>
              <w:t>Quality-critical</w:t>
            </w:r>
          </w:p>
        </w:tc>
      </w:tr>
      <w:tr>
        <w:tc>
          <w:tcPr>
            <w:tcW w:type="dxa" w:w="2556"/>
            <w:vAlign w:val="top"/>
          </w:tcPr>
          <w:p>
            <w:r>
              <w:rPr>
                <w:sz w:val="15"/>
              </w:rPr>
              <w:t>PHAR-UC-026</w:t>
            </w:r>
          </w:p>
        </w:tc>
        <w:tc>
          <w:tcPr>
            <w:tcW w:type="dxa" w:w="2556"/>
            <w:vAlign w:val="top"/>
          </w:tcPr>
          <w:p>
            <w:r>
              <w:rPr>
                <w:sz w:val="15"/>
              </w:rPr>
              <w:t>Deviation investigation support</w:t>
            </w:r>
          </w:p>
        </w:tc>
        <w:tc>
          <w:tcPr>
            <w:tcW w:type="dxa" w:w="2556"/>
            <w:vAlign w:val="top"/>
          </w:tcPr>
          <w:p>
            <w:r>
              <w:rPr>
                <w:sz w:val="15"/>
              </w:rPr>
              <w:t>Quality Assurance</w:t>
            </w:r>
          </w:p>
        </w:tc>
        <w:tc>
          <w:tcPr>
            <w:tcW w:type="dxa" w:w="2556"/>
            <w:vAlign w:val="top"/>
          </w:tcPr>
          <w:p>
            <w:r>
              <w:rPr>
                <w:sz w:val="15"/>
              </w:rPr>
              <w:t>GxP-significant</w:t>
            </w:r>
          </w:p>
        </w:tc>
      </w:tr>
      <w:tr>
        <w:tc>
          <w:tcPr>
            <w:tcW w:type="dxa" w:w="2556"/>
            <w:vAlign w:val="top"/>
          </w:tcPr>
          <w:p>
            <w:r>
              <w:rPr>
                <w:sz w:val="15"/>
              </w:rPr>
              <w:t>PHAR-UC-027</w:t>
            </w:r>
          </w:p>
        </w:tc>
        <w:tc>
          <w:tcPr>
            <w:tcW w:type="dxa" w:w="2556"/>
            <w:vAlign w:val="top"/>
          </w:tcPr>
          <w:p>
            <w:r>
              <w:rPr>
                <w:sz w:val="15"/>
              </w:rPr>
              <w:t>CAPA recommendation support</w:t>
            </w:r>
          </w:p>
        </w:tc>
        <w:tc>
          <w:tcPr>
            <w:tcW w:type="dxa" w:w="2556"/>
            <w:vAlign w:val="top"/>
          </w:tcPr>
          <w:p>
            <w:r>
              <w:rPr>
                <w:sz w:val="15"/>
              </w:rPr>
              <w:t>Quality Assurance</w:t>
            </w:r>
          </w:p>
        </w:tc>
        <w:tc>
          <w:tcPr>
            <w:tcW w:type="dxa" w:w="2556"/>
            <w:vAlign w:val="top"/>
          </w:tcPr>
          <w:p>
            <w:r>
              <w:rPr>
                <w:sz w:val="15"/>
              </w:rPr>
              <w:t>GxP-significant</w:t>
            </w:r>
          </w:p>
        </w:tc>
      </w:tr>
      <w:tr>
        <w:tc>
          <w:tcPr>
            <w:tcW w:type="dxa" w:w="2556"/>
            <w:vAlign w:val="top"/>
          </w:tcPr>
          <w:p>
            <w:r>
              <w:rPr>
                <w:sz w:val="15"/>
              </w:rPr>
              <w:t>PHAR-UC-028</w:t>
            </w:r>
          </w:p>
        </w:tc>
        <w:tc>
          <w:tcPr>
            <w:tcW w:type="dxa" w:w="2556"/>
            <w:vAlign w:val="top"/>
          </w:tcPr>
          <w:p>
            <w:r>
              <w:rPr>
                <w:sz w:val="15"/>
              </w:rPr>
              <w:t>Quality complaint triage</w:t>
            </w:r>
          </w:p>
        </w:tc>
        <w:tc>
          <w:tcPr>
            <w:tcW w:type="dxa" w:w="2556"/>
            <w:vAlign w:val="top"/>
          </w:tcPr>
          <w:p>
            <w:r>
              <w:rPr>
                <w:sz w:val="15"/>
              </w:rPr>
              <w:t>Product Quality</w:t>
            </w:r>
          </w:p>
        </w:tc>
        <w:tc>
          <w:tcPr>
            <w:tcW w:type="dxa" w:w="2556"/>
            <w:vAlign w:val="top"/>
          </w:tcPr>
          <w:p>
            <w:r>
              <w:rPr>
                <w:sz w:val="15"/>
              </w:rPr>
              <w:t>Safety-significant</w:t>
            </w:r>
          </w:p>
        </w:tc>
      </w:tr>
      <w:tr>
        <w:tc>
          <w:tcPr>
            <w:tcW w:type="dxa" w:w="2556"/>
            <w:vAlign w:val="top"/>
          </w:tcPr>
          <w:p>
            <w:r>
              <w:rPr>
                <w:sz w:val="15"/>
              </w:rPr>
              <w:t>PHAR-UC-029</w:t>
            </w:r>
          </w:p>
        </w:tc>
        <w:tc>
          <w:tcPr>
            <w:tcW w:type="dxa" w:w="2556"/>
            <w:vAlign w:val="top"/>
          </w:tcPr>
          <w:p>
            <w:r>
              <w:rPr>
                <w:sz w:val="15"/>
              </w:rPr>
              <w:t>Supply forecasting</w:t>
            </w:r>
          </w:p>
        </w:tc>
        <w:tc>
          <w:tcPr>
            <w:tcW w:type="dxa" w:w="2556"/>
            <w:vAlign w:val="top"/>
          </w:tcPr>
          <w:p>
            <w:r>
              <w:rPr>
                <w:sz w:val="15"/>
              </w:rPr>
              <w:t>Supply Chain</w:t>
            </w:r>
          </w:p>
        </w:tc>
        <w:tc>
          <w:tcPr>
            <w:tcW w:type="dxa" w:w="2556"/>
            <w:vAlign w:val="top"/>
          </w:tcPr>
          <w:p>
            <w:r>
              <w:rPr>
                <w:sz w:val="15"/>
              </w:rPr>
              <w:t>Controlled operational</w:t>
            </w:r>
          </w:p>
        </w:tc>
      </w:tr>
      <w:tr>
        <w:tc>
          <w:tcPr>
            <w:tcW w:type="dxa" w:w="2556"/>
            <w:vAlign w:val="top"/>
          </w:tcPr>
          <w:p>
            <w:r>
              <w:rPr>
                <w:sz w:val="15"/>
              </w:rPr>
              <w:t>PHAR-UC-030</w:t>
            </w:r>
          </w:p>
        </w:tc>
        <w:tc>
          <w:tcPr>
            <w:tcW w:type="dxa" w:w="2556"/>
            <w:vAlign w:val="top"/>
          </w:tcPr>
          <w:p>
            <w:r>
              <w:rPr>
                <w:sz w:val="15"/>
              </w:rPr>
              <w:t>Cold-chain anomaly detection</w:t>
            </w:r>
          </w:p>
        </w:tc>
        <w:tc>
          <w:tcPr>
            <w:tcW w:type="dxa" w:w="2556"/>
            <w:vAlign w:val="top"/>
          </w:tcPr>
          <w:p>
            <w:r>
              <w:rPr>
                <w:sz w:val="15"/>
              </w:rPr>
              <w:t>Supply Chain Quality</w:t>
            </w:r>
          </w:p>
        </w:tc>
        <w:tc>
          <w:tcPr>
            <w:tcW w:type="dxa" w:w="2556"/>
            <w:vAlign w:val="top"/>
          </w:tcPr>
          <w:p>
            <w:r>
              <w:rPr>
                <w:sz w:val="15"/>
              </w:rPr>
              <w:t>Quality-critical</w:t>
            </w:r>
          </w:p>
        </w:tc>
      </w:tr>
      <w:tr>
        <w:tc>
          <w:tcPr>
            <w:tcW w:type="dxa" w:w="2556"/>
            <w:vAlign w:val="top"/>
          </w:tcPr>
          <w:p>
            <w:r>
              <w:rPr>
                <w:sz w:val="15"/>
              </w:rPr>
              <w:t>PHAR-UC-031</w:t>
            </w:r>
          </w:p>
        </w:tc>
        <w:tc>
          <w:tcPr>
            <w:tcW w:type="dxa" w:w="2556"/>
            <w:vAlign w:val="top"/>
          </w:tcPr>
          <w:p>
            <w:r>
              <w:rPr>
                <w:sz w:val="15"/>
              </w:rPr>
              <w:t>Counterfeit detection</w:t>
            </w:r>
          </w:p>
        </w:tc>
        <w:tc>
          <w:tcPr>
            <w:tcW w:type="dxa" w:w="2556"/>
            <w:vAlign w:val="top"/>
          </w:tcPr>
          <w:p>
            <w:r>
              <w:rPr>
                <w:sz w:val="15"/>
              </w:rPr>
              <w:t>Product Security</w:t>
            </w:r>
          </w:p>
        </w:tc>
        <w:tc>
          <w:tcPr>
            <w:tcW w:type="dxa" w:w="2556"/>
            <w:vAlign w:val="top"/>
          </w:tcPr>
          <w:p>
            <w:r>
              <w:rPr>
                <w:sz w:val="15"/>
              </w:rPr>
              <w:t>Safety-significant</w:t>
            </w:r>
          </w:p>
        </w:tc>
      </w:tr>
      <w:tr>
        <w:tc>
          <w:tcPr>
            <w:tcW w:type="dxa" w:w="2556"/>
            <w:vAlign w:val="top"/>
          </w:tcPr>
          <w:p>
            <w:r>
              <w:rPr>
                <w:sz w:val="15"/>
              </w:rPr>
              <w:t>PHAR-UC-032</w:t>
            </w:r>
          </w:p>
        </w:tc>
        <w:tc>
          <w:tcPr>
            <w:tcW w:type="dxa" w:w="2556"/>
            <w:vAlign w:val="top"/>
          </w:tcPr>
          <w:p>
            <w:r>
              <w:rPr>
                <w:sz w:val="15"/>
              </w:rPr>
              <w:t>Serialization analytics</w:t>
            </w:r>
          </w:p>
        </w:tc>
        <w:tc>
          <w:tcPr>
            <w:tcW w:type="dxa" w:w="2556"/>
            <w:vAlign w:val="top"/>
          </w:tcPr>
          <w:p>
            <w:r>
              <w:rPr>
                <w:sz w:val="15"/>
              </w:rPr>
              <w:t>Supply Chain / Compliance</w:t>
            </w:r>
          </w:p>
        </w:tc>
        <w:tc>
          <w:tcPr>
            <w:tcW w:type="dxa" w:w="2556"/>
            <w:vAlign w:val="top"/>
          </w:tcPr>
          <w:p>
            <w:r>
              <w:rPr>
                <w:sz w:val="15"/>
              </w:rPr>
              <w:t>GxP-significant</w:t>
            </w:r>
          </w:p>
        </w:tc>
      </w:tr>
      <w:tr>
        <w:tc>
          <w:tcPr>
            <w:tcW w:type="dxa" w:w="2556"/>
            <w:vAlign w:val="top"/>
          </w:tcPr>
          <w:p>
            <w:r>
              <w:rPr>
                <w:sz w:val="15"/>
              </w:rPr>
              <w:t>PHAR-UC-033</w:t>
            </w:r>
          </w:p>
        </w:tc>
        <w:tc>
          <w:tcPr>
            <w:tcW w:type="dxa" w:w="2556"/>
            <w:vAlign w:val="top"/>
          </w:tcPr>
          <w:p>
            <w:r>
              <w:rPr>
                <w:sz w:val="15"/>
              </w:rPr>
              <w:t>Controlled-document knowledge retrieval</w:t>
            </w:r>
          </w:p>
        </w:tc>
        <w:tc>
          <w:tcPr>
            <w:tcW w:type="dxa" w:w="2556"/>
            <w:vAlign w:val="top"/>
          </w:tcPr>
          <w:p>
            <w:r>
              <w:rPr>
                <w:sz w:val="15"/>
              </w:rPr>
              <w:t>Quality Systems</w:t>
            </w:r>
          </w:p>
        </w:tc>
        <w:tc>
          <w:tcPr>
            <w:tcW w:type="dxa" w:w="2556"/>
            <w:vAlign w:val="top"/>
          </w:tcPr>
          <w:p>
            <w:r>
              <w:rPr>
                <w:sz w:val="15"/>
              </w:rPr>
              <w:t>GxP-significant</w:t>
            </w:r>
          </w:p>
        </w:tc>
      </w:tr>
      <w:tr>
        <w:tc>
          <w:tcPr>
            <w:tcW w:type="dxa" w:w="2556"/>
            <w:vAlign w:val="top"/>
          </w:tcPr>
          <w:p>
            <w:r>
              <w:rPr>
                <w:sz w:val="15"/>
              </w:rPr>
              <w:t>PHAR-UC-034</w:t>
            </w:r>
          </w:p>
        </w:tc>
        <w:tc>
          <w:tcPr>
            <w:tcW w:type="dxa" w:w="2556"/>
            <w:vAlign w:val="top"/>
          </w:tcPr>
          <w:p>
            <w:r>
              <w:rPr>
                <w:sz w:val="15"/>
              </w:rPr>
              <w:t>Employee training assistant</w:t>
            </w:r>
          </w:p>
        </w:tc>
        <w:tc>
          <w:tcPr>
            <w:tcW w:type="dxa" w:w="2556"/>
            <w:vAlign w:val="top"/>
          </w:tcPr>
          <w:p>
            <w:r>
              <w:rPr>
                <w:sz w:val="15"/>
              </w:rPr>
              <w:t>Learning and Development</w:t>
            </w:r>
          </w:p>
        </w:tc>
        <w:tc>
          <w:tcPr>
            <w:tcW w:type="dxa" w:w="2556"/>
            <w:vAlign w:val="top"/>
          </w:tcPr>
          <w:p>
            <w:r>
              <w:rPr>
                <w:sz w:val="15"/>
              </w:rPr>
              <w:t>Controlled operational</w:t>
            </w:r>
          </w:p>
        </w:tc>
      </w:tr>
      <w:tr>
        <w:tc>
          <w:tcPr>
            <w:tcW w:type="dxa" w:w="2556"/>
            <w:vAlign w:val="top"/>
          </w:tcPr>
          <w:p>
            <w:r>
              <w:rPr>
                <w:sz w:val="15"/>
              </w:rPr>
              <w:t>PHAR-UC-035</w:t>
            </w:r>
          </w:p>
        </w:tc>
        <w:tc>
          <w:tcPr>
            <w:tcW w:type="dxa" w:w="2556"/>
            <w:vAlign w:val="top"/>
          </w:tcPr>
          <w:p>
            <w:r>
              <w:rPr>
                <w:sz w:val="15"/>
              </w:rPr>
              <w:t>Inspection-readiness support</w:t>
            </w:r>
          </w:p>
        </w:tc>
        <w:tc>
          <w:tcPr>
            <w:tcW w:type="dxa" w:w="2556"/>
            <w:vAlign w:val="top"/>
          </w:tcPr>
          <w:p>
            <w:r>
              <w:rPr>
                <w:sz w:val="15"/>
              </w:rPr>
              <w:t>Quality Assurance</w:t>
            </w:r>
          </w:p>
        </w:tc>
        <w:tc>
          <w:tcPr>
            <w:tcW w:type="dxa" w:w="2556"/>
            <w:vAlign w:val="top"/>
          </w:tcPr>
          <w:p>
            <w:r>
              <w:rPr>
                <w:sz w:val="15"/>
              </w:rPr>
              <w:t>GxP-significant</w:t>
            </w:r>
          </w:p>
        </w:tc>
      </w:tr>
      <w:tr>
        <w:tc>
          <w:tcPr>
            <w:tcW w:type="dxa" w:w="2556"/>
            <w:vAlign w:val="top"/>
          </w:tcPr>
          <w:p>
            <w:r>
              <w:rPr>
                <w:sz w:val="15"/>
              </w:rPr>
              <w:t>PHAR-UC-036</w:t>
            </w:r>
          </w:p>
        </w:tc>
        <w:tc>
          <w:tcPr>
            <w:tcW w:type="dxa" w:w="2556"/>
            <w:vAlign w:val="top"/>
          </w:tcPr>
          <w:p>
            <w:r>
              <w:rPr>
                <w:sz w:val="15"/>
              </w:rPr>
              <w:t>Regulatory intelligence</w:t>
            </w:r>
          </w:p>
        </w:tc>
        <w:tc>
          <w:tcPr>
            <w:tcW w:type="dxa" w:w="2556"/>
            <w:vAlign w:val="top"/>
          </w:tcPr>
          <w:p>
            <w:r>
              <w:rPr>
                <w:sz w:val="15"/>
              </w:rPr>
              <w:t>Regulatory Affairs</w:t>
            </w:r>
          </w:p>
        </w:tc>
        <w:tc>
          <w:tcPr>
            <w:tcW w:type="dxa" w:w="2556"/>
            <w:vAlign w:val="top"/>
          </w:tcPr>
          <w:p>
            <w:r>
              <w:rPr>
                <w:sz w:val="15"/>
              </w:rPr>
              <w:t>Controlled operational</w:t>
            </w:r>
          </w:p>
        </w:tc>
      </w:tr>
      <w:tr>
        <w:tc>
          <w:tcPr>
            <w:tcW w:type="dxa" w:w="2556"/>
            <w:vAlign w:val="top"/>
          </w:tcPr>
          <w:p>
            <w:r>
              <w:rPr>
                <w:sz w:val="15"/>
              </w:rPr>
              <w:t>PHAR-UC-037</w:t>
            </w:r>
          </w:p>
        </w:tc>
        <w:tc>
          <w:tcPr>
            <w:tcW w:type="dxa" w:w="2556"/>
            <w:vAlign w:val="top"/>
          </w:tcPr>
          <w:p>
            <w:r>
              <w:rPr>
                <w:sz w:val="15"/>
              </w:rPr>
              <w:t>Product-label content support</w:t>
            </w:r>
          </w:p>
        </w:tc>
        <w:tc>
          <w:tcPr>
            <w:tcW w:type="dxa" w:w="2556"/>
            <w:vAlign w:val="top"/>
          </w:tcPr>
          <w:p>
            <w:r>
              <w:rPr>
                <w:sz w:val="15"/>
              </w:rPr>
              <w:t>Regulatory Affairs</w:t>
            </w:r>
          </w:p>
        </w:tc>
        <w:tc>
          <w:tcPr>
            <w:tcW w:type="dxa" w:w="2556"/>
            <w:vAlign w:val="top"/>
          </w:tcPr>
          <w:p>
            <w:r>
              <w:rPr>
                <w:sz w:val="15"/>
              </w:rPr>
              <w:t>Safety-significant</w:t>
            </w:r>
          </w:p>
        </w:tc>
      </w:tr>
      <w:tr>
        <w:tc>
          <w:tcPr>
            <w:tcW w:type="dxa" w:w="2556"/>
            <w:vAlign w:val="top"/>
          </w:tcPr>
          <w:p>
            <w:r>
              <w:rPr>
                <w:sz w:val="15"/>
              </w:rPr>
              <w:t>PHAR-UC-038</w:t>
            </w:r>
          </w:p>
        </w:tc>
        <w:tc>
          <w:tcPr>
            <w:tcW w:type="dxa" w:w="2556"/>
            <w:vAlign w:val="top"/>
          </w:tcPr>
          <w:p>
            <w:r>
              <w:rPr>
                <w:sz w:val="15"/>
              </w:rPr>
              <w:t>Medical-information chat system</w:t>
            </w:r>
          </w:p>
        </w:tc>
        <w:tc>
          <w:tcPr>
            <w:tcW w:type="dxa" w:w="2556"/>
            <w:vAlign w:val="top"/>
          </w:tcPr>
          <w:p>
            <w:r>
              <w:rPr>
                <w:sz w:val="15"/>
              </w:rPr>
              <w:t>Medical Information</w:t>
            </w:r>
          </w:p>
        </w:tc>
        <w:tc>
          <w:tcPr>
            <w:tcW w:type="dxa" w:w="2556"/>
            <w:vAlign w:val="top"/>
          </w:tcPr>
          <w:p>
            <w:r>
              <w:rPr>
                <w:sz w:val="15"/>
              </w:rPr>
              <w:t>Safety-significant</w:t>
            </w:r>
          </w:p>
        </w:tc>
      </w:tr>
      <w:tr>
        <w:tc>
          <w:tcPr>
            <w:tcW w:type="dxa" w:w="2556"/>
            <w:vAlign w:val="top"/>
          </w:tcPr>
          <w:p>
            <w:r>
              <w:rPr>
                <w:sz w:val="15"/>
              </w:rPr>
              <w:t>PHAR-UC-039</w:t>
            </w:r>
          </w:p>
        </w:tc>
        <w:tc>
          <w:tcPr>
            <w:tcW w:type="dxa" w:w="2556"/>
            <w:vAlign w:val="top"/>
          </w:tcPr>
          <w:p>
            <w:r>
              <w:rPr>
                <w:sz w:val="15"/>
              </w:rPr>
              <w:t>Patient-facing support tool</w:t>
            </w:r>
          </w:p>
        </w:tc>
        <w:tc>
          <w:tcPr>
            <w:tcW w:type="dxa" w:w="2556"/>
            <w:vAlign w:val="top"/>
          </w:tcPr>
          <w:p>
            <w:r>
              <w:rPr>
                <w:sz w:val="15"/>
              </w:rPr>
              <w:t>Patient Services</w:t>
            </w:r>
          </w:p>
        </w:tc>
        <w:tc>
          <w:tcPr>
            <w:tcW w:type="dxa" w:w="2556"/>
            <w:vAlign w:val="top"/>
          </w:tcPr>
          <w:p>
            <w:r>
              <w:rPr>
                <w:sz w:val="15"/>
              </w:rPr>
              <w:t>Safety-significant</w:t>
            </w:r>
          </w:p>
        </w:tc>
      </w:tr>
      <w:tr>
        <w:tc>
          <w:tcPr>
            <w:tcW w:type="dxa" w:w="2556"/>
            <w:vAlign w:val="top"/>
          </w:tcPr>
          <w:p>
            <w:r>
              <w:rPr>
                <w:sz w:val="15"/>
              </w:rPr>
              <w:t>PHAR-UC-040</w:t>
            </w:r>
          </w:p>
        </w:tc>
        <w:tc>
          <w:tcPr>
            <w:tcW w:type="dxa" w:w="2556"/>
            <w:vAlign w:val="top"/>
          </w:tcPr>
          <w:p>
            <w:r>
              <w:rPr>
                <w:sz w:val="15"/>
              </w:rPr>
              <w:t>Third-party foundation-model integration</w:t>
            </w:r>
          </w:p>
        </w:tc>
        <w:tc>
          <w:tcPr>
            <w:tcW w:type="dxa" w:w="2556"/>
            <w:vAlign w:val="top"/>
          </w:tcPr>
          <w:p>
            <w:r>
              <w:rPr>
                <w:sz w:val="15"/>
              </w:rPr>
              <w:t>Enterprise Technology</w:t>
            </w:r>
          </w:p>
        </w:tc>
        <w:tc>
          <w:tcPr>
            <w:tcW w:type="dxa" w:w="2556"/>
            <w:vAlign w:val="top"/>
          </w:tcPr>
          <w:p>
            <w:r>
              <w:rPr>
                <w:sz w:val="15"/>
              </w:rPr>
              <w:t>Variable</w:t>
            </w:r>
          </w:p>
        </w:tc>
      </w:tr>
    </w:tbl>
    <w:p/>
    <w:p>
      <w:pPr>
        <w:pStyle w:val="Heading1"/>
      </w:pPr>
      <w:r>
        <w:t>5. Threat Register</w:t>
      </w:r>
    </w:p>
    <w:p>
      <w:r>
        <w:t>Each entry is a scenario unless a specific confirmed source is cited. Inclusion does not establish occurrence or prevalence.</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F4E78"/>
          </w:tcPr>
          <w:p>
            <w:r>
              <w:rPr>
                <w:b/>
                <w:color w:val="FFFFFF"/>
                <w:sz w:val="16"/>
              </w:rPr>
              <w:t>ID</w:t>
            </w:r>
          </w:p>
        </w:tc>
        <w:tc>
          <w:tcPr>
            <w:tcW w:type="dxa" w:w="3408"/>
            <w:shd w:fill="1F4E78"/>
          </w:tcPr>
          <w:p>
            <w:r>
              <w:rPr>
                <w:b/>
                <w:color w:val="FFFFFF"/>
                <w:sz w:val="16"/>
              </w:rPr>
              <w:t>Scenario</w:t>
            </w:r>
          </w:p>
        </w:tc>
        <w:tc>
          <w:tcPr>
            <w:tcW w:type="dxa" w:w="3408"/>
            <w:shd w:fill="1F4E78"/>
          </w:tcPr>
          <w:p>
            <w:r>
              <w:rPr>
                <w:b/>
                <w:color w:val="FFFFFF"/>
                <w:sz w:val="16"/>
              </w:rPr>
              <w:t>Evidence status</w:t>
            </w:r>
          </w:p>
        </w:tc>
      </w:tr>
      <w:tr>
        <w:tc>
          <w:tcPr>
            <w:tcW w:type="dxa" w:w="3408"/>
            <w:vAlign w:val="top"/>
          </w:tcPr>
          <w:p>
            <w:r>
              <w:rPr>
                <w:sz w:val="15"/>
              </w:rPr>
              <w:t>PHAR-THR-001</w:t>
            </w:r>
          </w:p>
        </w:tc>
        <w:tc>
          <w:tcPr>
            <w:tcW w:type="dxa" w:w="3408"/>
            <w:vAlign w:val="top"/>
          </w:tcPr>
          <w:p>
            <w:r>
              <w:rPr>
                <w:sz w:val="15"/>
              </w:rPr>
              <w:t>Manipulation of drug-discovery training data</w:t>
            </w:r>
          </w:p>
        </w:tc>
        <w:tc>
          <w:tcPr>
            <w:tcW w:type="dxa" w:w="3408"/>
            <w:vAlign w:val="top"/>
          </w:tcPr>
          <w:p>
            <w:r>
              <w:rPr>
                <w:sz w:val="15"/>
              </w:rPr>
              <w:t>Threat-model entry; not evidence that the event has occurred.</w:t>
            </w:r>
          </w:p>
        </w:tc>
      </w:tr>
      <w:tr>
        <w:tc>
          <w:tcPr>
            <w:tcW w:type="dxa" w:w="3408"/>
            <w:vAlign w:val="top"/>
          </w:tcPr>
          <w:p>
            <w:r>
              <w:rPr>
                <w:sz w:val="15"/>
              </w:rPr>
              <w:t>PHAR-THR-002</w:t>
            </w:r>
          </w:p>
        </w:tc>
        <w:tc>
          <w:tcPr>
            <w:tcW w:type="dxa" w:w="3408"/>
            <w:vAlign w:val="top"/>
          </w:tcPr>
          <w:p>
            <w:r>
              <w:rPr>
                <w:sz w:val="15"/>
              </w:rPr>
              <w:t>Poisoning of experimental datasets</w:t>
            </w:r>
          </w:p>
        </w:tc>
        <w:tc>
          <w:tcPr>
            <w:tcW w:type="dxa" w:w="3408"/>
            <w:vAlign w:val="top"/>
          </w:tcPr>
          <w:p>
            <w:r>
              <w:rPr>
                <w:sz w:val="15"/>
              </w:rPr>
              <w:t>Threat-model entry; not evidence that the event has occurred.</w:t>
            </w:r>
          </w:p>
        </w:tc>
      </w:tr>
      <w:tr>
        <w:tc>
          <w:tcPr>
            <w:tcW w:type="dxa" w:w="3408"/>
            <w:vAlign w:val="top"/>
          </w:tcPr>
          <w:p>
            <w:r>
              <w:rPr>
                <w:sz w:val="15"/>
              </w:rPr>
              <w:t>PHAR-THR-003</w:t>
            </w:r>
          </w:p>
        </w:tc>
        <w:tc>
          <w:tcPr>
            <w:tcW w:type="dxa" w:w="3408"/>
            <w:vAlign w:val="top"/>
          </w:tcPr>
          <w:p>
            <w:r>
              <w:rPr>
                <w:sz w:val="15"/>
              </w:rPr>
              <w:t>Compromise of proprietary molecular data</w:t>
            </w:r>
          </w:p>
        </w:tc>
        <w:tc>
          <w:tcPr>
            <w:tcW w:type="dxa" w:w="3408"/>
            <w:vAlign w:val="top"/>
          </w:tcPr>
          <w:p>
            <w:r>
              <w:rPr>
                <w:sz w:val="15"/>
              </w:rPr>
              <w:t>Threat-model entry; not evidence that the event has occurred.</w:t>
            </w:r>
          </w:p>
        </w:tc>
      </w:tr>
      <w:tr>
        <w:tc>
          <w:tcPr>
            <w:tcW w:type="dxa" w:w="3408"/>
            <w:vAlign w:val="top"/>
          </w:tcPr>
          <w:p>
            <w:r>
              <w:rPr>
                <w:sz w:val="15"/>
              </w:rPr>
              <w:t>PHAR-THR-004</w:t>
            </w:r>
          </w:p>
        </w:tc>
        <w:tc>
          <w:tcPr>
            <w:tcW w:type="dxa" w:w="3408"/>
            <w:vAlign w:val="top"/>
          </w:tcPr>
          <w:p>
            <w:r>
              <w:rPr>
                <w:sz w:val="15"/>
              </w:rPr>
              <w:t>Theft of clinical-trial information</w:t>
            </w:r>
          </w:p>
        </w:tc>
        <w:tc>
          <w:tcPr>
            <w:tcW w:type="dxa" w:w="3408"/>
            <w:vAlign w:val="top"/>
          </w:tcPr>
          <w:p>
            <w:r>
              <w:rPr>
                <w:sz w:val="15"/>
              </w:rPr>
              <w:t>Threat-model entry; not evidence that the event has occurred.</w:t>
            </w:r>
          </w:p>
        </w:tc>
      </w:tr>
      <w:tr>
        <w:tc>
          <w:tcPr>
            <w:tcW w:type="dxa" w:w="3408"/>
            <w:vAlign w:val="top"/>
          </w:tcPr>
          <w:p>
            <w:r>
              <w:rPr>
                <w:sz w:val="15"/>
              </w:rPr>
              <w:t>PHAR-THR-005</w:t>
            </w:r>
          </w:p>
        </w:tc>
        <w:tc>
          <w:tcPr>
            <w:tcW w:type="dxa" w:w="3408"/>
            <w:vAlign w:val="top"/>
          </w:tcPr>
          <w:p>
            <w:r>
              <w:rPr>
                <w:sz w:val="15"/>
              </w:rPr>
              <w:t>Participant re-identification</w:t>
            </w:r>
          </w:p>
        </w:tc>
        <w:tc>
          <w:tcPr>
            <w:tcW w:type="dxa" w:w="3408"/>
            <w:vAlign w:val="top"/>
          </w:tcPr>
          <w:p>
            <w:r>
              <w:rPr>
                <w:sz w:val="15"/>
              </w:rPr>
              <w:t>Threat-model entry; not evidence that the event has occurred.</w:t>
            </w:r>
          </w:p>
        </w:tc>
      </w:tr>
      <w:tr>
        <w:tc>
          <w:tcPr>
            <w:tcW w:type="dxa" w:w="3408"/>
            <w:vAlign w:val="top"/>
          </w:tcPr>
          <w:p>
            <w:r>
              <w:rPr>
                <w:sz w:val="15"/>
              </w:rPr>
              <w:t>PHAR-THR-006</w:t>
            </w:r>
          </w:p>
        </w:tc>
        <w:tc>
          <w:tcPr>
            <w:tcW w:type="dxa" w:w="3408"/>
            <w:vAlign w:val="top"/>
          </w:tcPr>
          <w:p>
            <w:r>
              <w:rPr>
                <w:sz w:val="15"/>
              </w:rPr>
              <w:t>Manipulation of eligibility-screening logic</w:t>
            </w:r>
          </w:p>
        </w:tc>
        <w:tc>
          <w:tcPr>
            <w:tcW w:type="dxa" w:w="3408"/>
            <w:vAlign w:val="top"/>
          </w:tcPr>
          <w:p>
            <w:r>
              <w:rPr>
                <w:sz w:val="15"/>
              </w:rPr>
              <w:t>Threat-model entry; not evidence that the event has occurred.</w:t>
            </w:r>
          </w:p>
        </w:tc>
      </w:tr>
      <w:tr>
        <w:tc>
          <w:tcPr>
            <w:tcW w:type="dxa" w:w="3408"/>
            <w:vAlign w:val="top"/>
          </w:tcPr>
          <w:p>
            <w:r>
              <w:rPr>
                <w:sz w:val="15"/>
              </w:rPr>
              <w:t>PHAR-THR-007</w:t>
            </w:r>
          </w:p>
        </w:tc>
        <w:tc>
          <w:tcPr>
            <w:tcW w:type="dxa" w:w="3408"/>
            <w:vAlign w:val="top"/>
          </w:tcPr>
          <w:p>
            <w:r>
              <w:rPr>
                <w:sz w:val="15"/>
              </w:rPr>
              <w:t>Protocol-generation errors</w:t>
            </w:r>
          </w:p>
        </w:tc>
        <w:tc>
          <w:tcPr>
            <w:tcW w:type="dxa" w:w="3408"/>
            <w:vAlign w:val="top"/>
          </w:tcPr>
          <w:p>
            <w:r>
              <w:rPr>
                <w:sz w:val="15"/>
              </w:rPr>
              <w:t>Threat-model entry; not evidence that the event has occurred.</w:t>
            </w:r>
          </w:p>
        </w:tc>
      </w:tr>
      <w:tr>
        <w:tc>
          <w:tcPr>
            <w:tcW w:type="dxa" w:w="3408"/>
            <w:vAlign w:val="top"/>
          </w:tcPr>
          <w:p>
            <w:r>
              <w:rPr>
                <w:sz w:val="15"/>
              </w:rPr>
              <w:t>PHAR-THR-008</w:t>
            </w:r>
          </w:p>
        </w:tc>
        <w:tc>
          <w:tcPr>
            <w:tcW w:type="dxa" w:w="3408"/>
            <w:vAlign w:val="top"/>
          </w:tcPr>
          <w:p>
            <w:r>
              <w:rPr>
                <w:sz w:val="15"/>
              </w:rPr>
              <w:t>Fabrication of scientific references</w:t>
            </w:r>
          </w:p>
        </w:tc>
        <w:tc>
          <w:tcPr>
            <w:tcW w:type="dxa" w:w="3408"/>
            <w:vAlign w:val="top"/>
          </w:tcPr>
          <w:p>
            <w:r>
              <w:rPr>
                <w:sz w:val="15"/>
              </w:rPr>
              <w:t>Threat-model entry; not evidence that the event has occurred.</w:t>
            </w:r>
          </w:p>
        </w:tc>
      </w:tr>
      <w:tr>
        <w:tc>
          <w:tcPr>
            <w:tcW w:type="dxa" w:w="3408"/>
            <w:vAlign w:val="top"/>
          </w:tcPr>
          <w:p>
            <w:r>
              <w:rPr>
                <w:sz w:val="15"/>
              </w:rPr>
              <w:t>PHAR-THR-009</w:t>
            </w:r>
          </w:p>
        </w:tc>
        <w:tc>
          <w:tcPr>
            <w:tcW w:type="dxa" w:w="3408"/>
            <w:vAlign w:val="top"/>
          </w:tcPr>
          <w:p>
            <w:r>
              <w:rPr>
                <w:sz w:val="15"/>
              </w:rPr>
              <w:t>Inaccurate regulatory content generation</w:t>
            </w:r>
          </w:p>
        </w:tc>
        <w:tc>
          <w:tcPr>
            <w:tcW w:type="dxa" w:w="3408"/>
            <w:vAlign w:val="top"/>
          </w:tcPr>
          <w:p>
            <w:r>
              <w:rPr>
                <w:sz w:val="15"/>
              </w:rPr>
              <w:t>Threat-model entry; not evidence that the event has occurred.</w:t>
            </w:r>
          </w:p>
        </w:tc>
      </w:tr>
      <w:tr>
        <w:tc>
          <w:tcPr>
            <w:tcW w:type="dxa" w:w="3408"/>
            <w:vAlign w:val="top"/>
          </w:tcPr>
          <w:p>
            <w:r>
              <w:rPr>
                <w:sz w:val="15"/>
              </w:rPr>
              <w:t>PHAR-THR-010</w:t>
            </w:r>
          </w:p>
        </w:tc>
        <w:tc>
          <w:tcPr>
            <w:tcW w:type="dxa" w:w="3408"/>
            <w:vAlign w:val="top"/>
          </w:tcPr>
          <w:p>
            <w:r>
              <w:rPr>
                <w:sz w:val="15"/>
              </w:rPr>
              <w:t>Unauthorised modification of controlled documents</w:t>
            </w:r>
          </w:p>
        </w:tc>
        <w:tc>
          <w:tcPr>
            <w:tcW w:type="dxa" w:w="3408"/>
            <w:vAlign w:val="top"/>
          </w:tcPr>
          <w:p>
            <w:r>
              <w:rPr>
                <w:sz w:val="15"/>
              </w:rPr>
              <w:t>Threat-model entry; not evidence that the event has occurred.</w:t>
            </w:r>
          </w:p>
        </w:tc>
      </w:tr>
      <w:tr>
        <w:tc>
          <w:tcPr>
            <w:tcW w:type="dxa" w:w="3408"/>
            <w:vAlign w:val="top"/>
          </w:tcPr>
          <w:p>
            <w:r>
              <w:rPr>
                <w:sz w:val="15"/>
              </w:rPr>
              <w:t>PHAR-THR-011</w:t>
            </w:r>
          </w:p>
        </w:tc>
        <w:tc>
          <w:tcPr>
            <w:tcW w:type="dxa" w:w="3408"/>
            <w:vAlign w:val="top"/>
          </w:tcPr>
          <w:p>
            <w:r>
              <w:rPr>
                <w:sz w:val="15"/>
              </w:rPr>
              <w:t>Unreviewed model output inserted into regulated records</w:t>
            </w:r>
          </w:p>
        </w:tc>
        <w:tc>
          <w:tcPr>
            <w:tcW w:type="dxa" w:w="3408"/>
            <w:vAlign w:val="top"/>
          </w:tcPr>
          <w:p>
            <w:r>
              <w:rPr>
                <w:sz w:val="15"/>
              </w:rPr>
              <w:t>Threat-model entry; not evidence that the event has occurred.</w:t>
            </w:r>
          </w:p>
        </w:tc>
      </w:tr>
      <w:tr>
        <w:tc>
          <w:tcPr>
            <w:tcW w:type="dxa" w:w="3408"/>
            <w:vAlign w:val="top"/>
          </w:tcPr>
          <w:p>
            <w:r>
              <w:rPr>
                <w:sz w:val="15"/>
              </w:rPr>
              <w:t>PHAR-THR-012</w:t>
            </w:r>
          </w:p>
        </w:tc>
        <w:tc>
          <w:tcPr>
            <w:tcW w:type="dxa" w:w="3408"/>
            <w:vAlign w:val="top"/>
          </w:tcPr>
          <w:p>
            <w:r>
              <w:rPr>
                <w:sz w:val="15"/>
              </w:rPr>
              <w:t>Pharmacovigilance case suppression</w:t>
            </w:r>
          </w:p>
        </w:tc>
        <w:tc>
          <w:tcPr>
            <w:tcW w:type="dxa" w:w="3408"/>
            <w:vAlign w:val="top"/>
          </w:tcPr>
          <w:p>
            <w:r>
              <w:rPr>
                <w:sz w:val="15"/>
              </w:rPr>
              <w:t>Threat-model entry; not evidence that the event has occurred.</w:t>
            </w:r>
          </w:p>
        </w:tc>
      </w:tr>
      <w:tr>
        <w:tc>
          <w:tcPr>
            <w:tcW w:type="dxa" w:w="3408"/>
            <w:vAlign w:val="top"/>
          </w:tcPr>
          <w:p>
            <w:r>
              <w:rPr>
                <w:sz w:val="15"/>
              </w:rPr>
              <w:t>PHAR-THR-013</w:t>
            </w:r>
          </w:p>
        </w:tc>
        <w:tc>
          <w:tcPr>
            <w:tcW w:type="dxa" w:w="3408"/>
            <w:vAlign w:val="top"/>
          </w:tcPr>
          <w:p>
            <w:r>
              <w:rPr>
                <w:sz w:val="15"/>
              </w:rPr>
              <w:t>Adverse-event misclassification</w:t>
            </w:r>
          </w:p>
        </w:tc>
        <w:tc>
          <w:tcPr>
            <w:tcW w:type="dxa" w:w="3408"/>
            <w:vAlign w:val="top"/>
          </w:tcPr>
          <w:p>
            <w:r>
              <w:rPr>
                <w:sz w:val="15"/>
              </w:rPr>
              <w:t>Threat-model entry; not evidence that the event has occurred.</w:t>
            </w:r>
          </w:p>
        </w:tc>
      </w:tr>
      <w:tr>
        <w:tc>
          <w:tcPr>
            <w:tcW w:type="dxa" w:w="3408"/>
            <w:vAlign w:val="top"/>
          </w:tcPr>
          <w:p>
            <w:r>
              <w:rPr>
                <w:sz w:val="15"/>
              </w:rPr>
              <w:t>PHAR-THR-014</w:t>
            </w:r>
          </w:p>
        </w:tc>
        <w:tc>
          <w:tcPr>
            <w:tcW w:type="dxa" w:w="3408"/>
            <w:vAlign w:val="top"/>
          </w:tcPr>
          <w:p>
            <w:r>
              <w:rPr>
                <w:sz w:val="15"/>
              </w:rPr>
              <w:t>Delayed safety-signal detection</w:t>
            </w:r>
          </w:p>
        </w:tc>
        <w:tc>
          <w:tcPr>
            <w:tcW w:type="dxa" w:w="3408"/>
            <w:vAlign w:val="top"/>
          </w:tcPr>
          <w:p>
            <w:r>
              <w:rPr>
                <w:sz w:val="15"/>
              </w:rPr>
              <w:t>Threat-model entry; not evidence that the event has occurred.</w:t>
            </w:r>
          </w:p>
        </w:tc>
      </w:tr>
      <w:tr>
        <w:tc>
          <w:tcPr>
            <w:tcW w:type="dxa" w:w="3408"/>
            <w:vAlign w:val="top"/>
          </w:tcPr>
          <w:p>
            <w:r>
              <w:rPr>
                <w:sz w:val="15"/>
              </w:rPr>
              <w:t>PHAR-THR-015</w:t>
            </w:r>
          </w:p>
        </w:tc>
        <w:tc>
          <w:tcPr>
            <w:tcW w:type="dxa" w:w="3408"/>
            <w:vAlign w:val="top"/>
          </w:tcPr>
          <w:p>
            <w:r>
              <w:rPr>
                <w:sz w:val="15"/>
              </w:rPr>
              <w:t>False safety signals</w:t>
            </w:r>
          </w:p>
        </w:tc>
        <w:tc>
          <w:tcPr>
            <w:tcW w:type="dxa" w:w="3408"/>
            <w:vAlign w:val="top"/>
          </w:tcPr>
          <w:p>
            <w:r>
              <w:rPr>
                <w:sz w:val="15"/>
              </w:rPr>
              <w:t>Threat-model entry; not evidence that the event has occurred.</w:t>
            </w:r>
          </w:p>
        </w:tc>
      </w:tr>
      <w:tr>
        <w:tc>
          <w:tcPr>
            <w:tcW w:type="dxa" w:w="3408"/>
            <w:vAlign w:val="top"/>
          </w:tcPr>
          <w:p>
            <w:r>
              <w:rPr>
                <w:sz w:val="15"/>
              </w:rPr>
              <w:t>PHAR-THR-016</w:t>
            </w:r>
          </w:p>
        </w:tc>
        <w:tc>
          <w:tcPr>
            <w:tcW w:type="dxa" w:w="3408"/>
            <w:vAlign w:val="top"/>
          </w:tcPr>
          <w:p>
            <w:r>
              <w:rPr>
                <w:sz w:val="15"/>
              </w:rPr>
              <w:t>Hallucinated medical information</w:t>
            </w:r>
          </w:p>
        </w:tc>
        <w:tc>
          <w:tcPr>
            <w:tcW w:type="dxa" w:w="3408"/>
            <w:vAlign w:val="top"/>
          </w:tcPr>
          <w:p>
            <w:r>
              <w:rPr>
                <w:sz w:val="15"/>
              </w:rPr>
              <w:t>Threat-model entry; not evidence that the event has occurred.</w:t>
            </w:r>
          </w:p>
        </w:tc>
      </w:tr>
      <w:tr>
        <w:tc>
          <w:tcPr>
            <w:tcW w:type="dxa" w:w="3408"/>
            <w:vAlign w:val="top"/>
          </w:tcPr>
          <w:p>
            <w:r>
              <w:rPr>
                <w:sz w:val="15"/>
              </w:rPr>
              <w:t>PHAR-THR-017</w:t>
            </w:r>
          </w:p>
        </w:tc>
        <w:tc>
          <w:tcPr>
            <w:tcW w:type="dxa" w:w="3408"/>
            <w:vAlign w:val="top"/>
          </w:tcPr>
          <w:p>
            <w:r>
              <w:rPr>
                <w:sz w:val="15"/>
              </w:rPr>
              <w:t>Batch-release decision corruption</w:t>
            </w:r>
          </w:p>
        </w:tc>
        <w:tc>
          <w:tcPr>
            <w:tcW w:type="dxa" w:w="3408"/>
            <w:vAlign w:val="top"/>
          </w:tcPr>
          <w:p>
            <w:r>
              <w:rPr>
                <w:sz w:val="15"/>
              </w:rPr>
              <w:t>Threat-model entry; not evidence that the event has occurred.</w:t>
            </w:r>
          </w:p>
        </w:tc>
      </w:tr>
      <w:tr>
        <w:tc>
          <w:tcPr>
            <w:tcW w:type="dxa" w:w="3408"/>
            <w:vAlign w:val="top"/>
          </w:tcPr>
          <w:p>
            <w:r>
              <w:rPr>
                <w:sz w:val="15"/>
              </w:rPr>
              <w:t>PHAR-THR-018</w:t>
            </w:r>
          </w:p>
        </w:tc>
        <w:tc>
          <w:tcPr>
            <w:tcW w:type="dxa" w:w="3408"/>
            <w:vAlign w:val="top"/>
          </w:tcPr>
          <w:p>
            <w:r>
              <w:rPr>
                <w:sz w:val="15"/>
              </w:rPr>
              <w:t>Manufacturing parameter manipulation</w:t>
            </w:r>
          </w:p>
        </w:tc>
        <w:tc>
          <w:tcPr>
            <w:tcW w:type="dxa" w:w="3408"/>
            <w:vAlign w:val="top"/>
          </w:tcPr>
          <w:p>
            <w:r>
              <w:rPr>
                <w:sz w:val="15"/>
              </w:rPr>
              <w:t>Threat-model entry; not evidence that the event has occurred.</w:t>
            </w:r>
          </w:p>
        </w:tc>
      </w:tr>
      <w:tr>
        <w:tc>
          <w:tcPr>
            <w:tcW w:type="dxa" w:w="3408"/>
            <w:vAlign w:val="top"/>
          </w:tcPr>
          <w:p>
            <w:r>
              <w:rPr>
                <w:sz w:val="15"/>
              </w:rPr>
              <w:t>PHAR-THR-019</w:t>
            </w:r>
          </w:p>
        </w:tc>
        <w:tc>
          <w:tcPr>
            <w:tcW w:type="dxa" w:w="3408"/>
            <w:vAlign w:val="top"/>
          </w:tcPr>
          <w:p>
            <w:r>
              <w:rPr>
                <w:sz w:val="15"/>
              </w:rPr>
              <w:t>Laboratory-result alteration</w:t>
            </w:r>
          </w:p>
        </w:tc>
        <w:tc>
          <w:tcPr>
            <w:tcW w:type="dxa" w:w="3408"/>
            <w:vAlign w:val="top"/>
          </w:tcPr>
          <w:p>
            <w:r>
              <w:rPr>
                <w:sz w:val="15"/>
              </w:rPr>
              <w:t>Threat-model entry; not evidence that the event has occurred.</w:t>
            </w:r>
          </w:p>
        </w:tc>
      </w:tr>
      <w:tr>
        <w:tc>
          <w:tcPr>
            <w:tcW w:type="dxa" w:w="3408"/>
            <w:vAlign w:val="top"/>
          </w:tcPr>
          <w:p>
            <w:r>
              <w:rPr>
                <w:sz w:val="15"/>
              </w:rPr>
              <w:t>PHAR-THR-020</w:t>
            </w:r>
          </w:p>
        </w:tc>
        <w:tc>
          <w:tcPr>
            <w:tcW w:type="dxa" w:w="3408"/>
            <w:vAlign w:val="top"/>
          </w:tcPr>
          <w:p>
            <w:r>
              <w:rPr>
                <w:sz w:val="15"/>
              </w:rPr>
              <w:t>Visual-inspection evasion</w:t>
            </w:r>
          </w:p>
        </w:tc>
        <w:tc>
          <w:tcPr>
            <w:tcW w:type="dxa" w:w="3408"/>
            <w:vAlign w:val="top"/>
          </w:tcPr>
          <w:p>
            <w:r>
              <w:rPr>
                <w:sz w:val="15"/>
              </w:rPr>
              <w:t>Threat-model entry; not evidence that the event has occurred.</w:t>
            </w:r>
          </w:p>
        </w:tc>
      </w:tr>
      <w:tr>
        <w:tc>
          <w:tcPr>
            <w:tcW w:type="dxa" w:w="3408"/>
            <w:vAlign w:val="top"/>
          </w:tcPr>
          <w:p>
            <w:r>
              <w:rPr>
                <w:sz w:val="15"/>
              </w:rPr>
              <w:t>PHAR-THR-021</w:t>
            </w:r>
          </w:p>
        </w:tc>
        <w:tc>
          <w:tcPr>
            <w:tcW w:type="dxa" w:w="3408"/>
            <w:vAlign w:val="top"/>
          </w:tcPr>
          <w:p>
            <w:r>
              <w:rPr>
                <w:sz w:val="15"/>
              </w:rPr>
              <w:t>Model drift affecting quality decisions</w:t>
            </w:r>
          </w:p>
        </w:tc>
        <w:tc>
          <w:tcPr>
            <w:tcW w:type="dxa" w:w="3408"/>
            <w:vAlign w:val="top"/>
          </w:tcPr>
          <w:p>
            <w:r>
              <w:rPr>
                <w:sz w:val="15"/>
              </w:rPr>
              <w:t>Threat-model entry; not evidence that the event has occurred.</w:t>
            </w:r>
          </w:p>
        </w:tc>
      </w:tr>
      <w:tr>
        <w:tc>
          <w:tcPr>
            <w:tcW w:type="dxa" w:w="3408"/>
            <w:vAlign w:val="top"/>
          </w:tcPr>
          <w:p>
            <w:r>
              <w:rPr>
                <w:sz w:val="15"/>
              </w:rPr>
              <w:t>PHAR-THR-022</w:t>
            </w:r>
          </w:p>
        </w:tc>
        <w:tc>
          <w:tcPr>
            <w:tcW w:type="dxa" w:w="3408"/>
            <w:vAlign w:val="top"/>
          </w:tcPr>
          <w:p>
            <w:r>
              <w:rPr>
                <w:sz w:val="15"/>
              </w:rPr>
              <w:t>Unapproved model updates</w:t>
            </w:r>
          </w:p>
        </w:tc>
        <w:tc>
          <w:tcPr>
            <w:tcW w:type="dxa" w:w="3408"/>
            <w:vAlign w:val="top"/>
          </w:tcPr>
          <w:p>
            <w:r>
              <w:rPr>
                <w:sz w:val="15"/>
              </w:rPr>
              <w:t>Threat-model entry; not evidence that the event has occurred.</w:t>
            </w:r>
          </w:p>
        </w:tc>
      </w:tr>
      <w:tr>
        <w:tc>
          <w:tcPr>
            <w:tcW w:type="dxa" w:w="3408"/>
            <w:vAlign w:val="top"/>
          </w:tcPr>
          <w:p>
            <w:r>
              <w:rPr>
                <w:sz w:val="15"/>
              </w:rPr>
              <w:t>PHAR-THR-023</w:t>
            </w:r>
          </w:p>
        </w:tc>
        <w:tc>
          <w:tcPr>
            <w:tcW w:type="dxa" w:w="3408"/>
            <w:vAlign w:val="top"/>
          </w:tcPr>
          <w:p>
            <w:r>
              <w:rPr>
                <w:sz w:val="15"/>
              </w:rPr>
              <w:t>Loss of validated state</w:t>
            </w:r>
          </w:p>
        </w:tc>
        <w:tc>
          <w:tcPr>
            <w:tcW w:type="dxa" w:w="3408"/>
            <w:vAlign w:val="top"/>
          </w:tcPr>
          <w:p>
            <w:r>
              <w:rPr>
                <w:sz w:val="15"/>
              </w:rPr>
              <w:t>Threat-model entry; not evidence that the event has occurred.</w:t>
            </w:r>
          </w:p>
        </w:tc>
      </w:tr>
      <w:tr>
        <w:tc>
          <w:tcPr>
            <w:tcW w:type="dxa" w:w="3408"/>
            <w:vAlign w:val="top"/>
          </w:tcPr>
          <w:p>
            <w:r>
              <w:rPr>
                <w:sz w:val="15"/>
              </w:rPr>
              <w:t>PHAR-THR-024</w:t>
            </w:r>
          </w:p>
        </w:tc>
        <w:tc>
          <w:tcPr>
            <w:tcW w:type="dxa" w:w="3408"/>
            <w:vAlign w:val="top"/>
          </w:tcPr>
          <w:p>
            <w:r>
              <w:rPr>
                <w:sz w:val="15"/>
              </w:rPr>
              <w:t>Insufficient audit trails</w:t>
            </w:r>
          </w:p>
        </w:tc>
        <w:tc>
          <w:tcPr>
            <w:tcW w:type="dxa" w:w="3408"/>
            <w:vAlign w:val="top"/>
          </w:tcPr>
          <w:p>
            <w:r>
              <w:rPr>
                <w:sz w:val="15"/>
              </w:rPr>
              <w:t>Threat-model entry; not evidence that the event has occurred.</w:t>
            </w:r>
          </w:p>
        </w:tc>
      </w:tr>
      <w:tr>
        <w:tc>
          <w:tcPr>
            <w:tcW w:type="dxa" w:w="3408"/>
            <w:vAlign w:val="top"/>
          </w:tcPr>
          <w:p>
            <w:r>
              <w:rPr>
                <w:sz w:val="15"/>
              </w:rPr>
              <w:t>PHAR-THR-025</w:t>
            </w:r>
          </w:p>
        </w:tc>
        <w:tc>
          <w:tcPr>
            <w:tcW w:type="dxa" w:w="3408"/>
            <w:vAlign w:val="top"/>
          </w:tcPr>
          <w:p>
            <w:r>
              <w:rPr>
                <w:sz w:val="15"/>
              </w:rPr>
              <w:t>Weak electronic-signature attribution</w:t>
            </w:r>
          </w:p>
        </w:tc>
        <w:tc>
          <w:tcPr>
            <w:tcW w:type="dxa" w:w="3408"/>
            <w:vAlign w:val="top"/>
          </w:tcPr>
          <w:p>
            <w:r>
              <w:rPr>
                <w:sz w:val="15"/>
              </w:rPr>
              <w:t>Threat-model entry; not evidence that the event has occurred.</w:t>
            </w:r>
          </w:p>
        </w:tc>
      </w:tr>
      <w:tr>
        <w:tc>
          <w:tcPr>
            <w:tcW w:type="dxa" w:w="3408"/>
            <w:vAlign w:val="top"/>
          </w:tcPr>
          <w:p>
            <w:r>
              <w:rPr>
                <w:sz w:val="15"/>
              </w:rPr>
              <w:t>PHAR-THR-026</w:t>
            </w:r>
          </w:p>
        </w:tc>
        <w:tc>
          <w:tcPr>
            <w:tcW w:type="dxa" w:w="3408"/>
            <w:vAlign w:val="top"/>
          </w:tcPr>
          <w:p>
            <w:r>
              <w:rPr>
                <w:sz w:val="15"/>
              </w:rPr>
              <w:t>Training-serving skew</w:t>
            </w:r>
          </w:p>
        </w:tc>
        <w:tc>
          <w:tcPr>
            <w:tcW w:type="dxa" w:w="3408"/>
            <w:vAlign w:val="top"/>
          </w:tcPr>
          <w:p>
            <w:r>
              <w:rPr>
                <w:sz w:val="15"/>
              </w:rPr>
              <w:t>Threat-model entry; not evidence that the event has occurred.</w:t>
            </w:r>
          </w:p>
        </w:tc>
      </w:tr>
      <w:tr>
        <w:tc>
          <w:tcPr>
            <w:tcW w:type="dxa" w:w="3408"/>
            <w:vAlign w:val="top"/>
          </w:tcPr>
          <w:p>
            <w:r>
              <w:rPr>
                <w:sz w:val="15"/>
              </w:rPr>
              <w:t>PHAR-THR-027</w:t>
            </w:r>
          </w:p>
        </w:tc>
        <w:tc>
          <w:tcPr>
            <w:tcW w:type="dxa" w:w="3408"/>
            <w:vAlign w:val="top"/>
          </w:tcPr>
          <w:p>
            <w:r>
              <w:rPr>
                <w:sz w:val="15"/>
              </w:rPr>
              <w:t>Prompt injection through controlled or supplier documents</w:t>
            </w:r>
          </w:p>
        </w:tc>
        <w:tc>
          <w:tcPr>
            <w:tcW w:type="dxa" w:w="3408"/>
            <w:vAlign w:val="top"/>
          </w:tcPr>
          <w:p>
            <w:r>
              <w:rPr>
                <w:sz w:val="15"/>
              </w:rPr>
              <w:t>Threat-model entry; not evidence that the event has occurred.</w:t>
            </w:r>
          </w:p>
        </w:tc>
      </w:tr>
      <w:tr>
        <w:tc>
          <w:tcPr>
            <w:tcW w:type="dxa" w:w="3408"/>
            <w:vAlign w:val="top"/>
          </w:tcPr>
          <w:p>
            <w:r>
              <w:rPr>
                <w:sz w:val="15"/>
              </w:rPr>
              <w:t>PHAR-THR-028</w:t>
            </w:r>
          </w:p>
        </w:tc>
        <w:tc>
          <w:tcPr>
            <w:tcW w:type="dxa" w:w="3408"/>
            <w:vAlign w:val="top"/>
          </w:tcPr>
          <w:p>
            <w:r>
              <w:rPr>
                <w:sz w:val="15"/>
              </w:rPr>
              <w:t>Retrieval corpus poisoning</w:t>
            </w:r>
          </w:p>
        </w:tc>
        <w:tc>
          <w:tcPr>
            <w:tcW w:type="dxa" w:w="3408"/>
            <w:vAlign w:val="top"/>
          </w:tcPr>
          <w:p>
            <w:r>
              <w:rPr>
                <w:sz w:val="15"/>
              </w:rPr>
              <w:t>Threat-model entry; not evidence that the event has occurred.</w:t>
            </w:r>
          </w:p>
        </w:tc>
      </w:tr>
      <w:tr>
        <w:tc>
          <w:tcPr>
            <w:tcW w:type="dxa" w:w="3408"/>
            <w:vAlign w:val="top"/>
          </w:tcPr>
          <w:p>
            <w:r>
              <w:rPr>
                <w:sz w:val="15"/>
              </w:rPr>
              <w:t>PHAR-THR-029</w:t>
            </w:r>
          </w:p>
        </w:tc>
        <w:tc>
          <w:tcPr>
            <w:tcW w:type="dxa" w:w="3408"/>
            <w:vAlign w:val="top"/>
          </w:tcPr>
          <w:p>
            <w:r>
              <w:rPr>
                <w:sz w:val="15"/>
              </w:rPr>
              <w:t>Malicious content embedded in scientific literature</w:t>
            </w:r>
          </w:p>
        </w:tc>
        <w:tc>
          <w:tcPr>
            <w:tcW w:type="dxa" w:w="3408"/>
            <w:vAlign w:val="top"/>
          </w:tcPr>
          <w:p>
            <w:r>
              <w:rPr>
                <w:sz w:val="15"/>
              </w:rPr>
              <w:t>Threat-model entry; not evidence that the event has occurred.</w:t>
            </w:r>
          </w:p>
        </w:tc>
      </w:tr>
      <w:tr>
        <w:tc>
          <w:tcPr>
            <w:tcW w:type="dxa" w:w="3408"/>
            <w:vAlign w:val="top"/>
          </w:tcPr>
          <w:p>
            <w:r>
              <w:rPr>
                <w:sz w:val="15"/>
              </w:rPr>
              <w:t>PHAR-THR-030</w:t>
            </w:r>
          </w:p>
        </w:tc>
        <w:tc>
          <w:tcPr>
            <w:tcW w:type="dxa" w:w="3408"/>
            <w:vAlign w:val="top"/>
          </w:tcPr>
          <w:p>
            <w:r>
              <w:rPr>
                <w:sz w:val="15"/>
              </w:rPr>
              <w:t>Third-party model compromise</w:t>
            </w:r>
          </w:p>
        </w:tc>
        <w:tc>
          <w:tcPr>
            <w:tcW w:type="dxa" w:w="3408"/>
            <w:vAlign w:val="top"/>
          </w:tcPr>
          <w:p>
            <w:r>
              <w:rPr>
                <w:sz w:val="15"/>
              </w:rPr>
              <w:t>Threat-model entry; not evidence that the event has occurred.</w:t>
            </w:r>
          </w:p>
        </w:tc>
      </w:tr>
      <w:tr>
        <w:tc>
          <w:tcPr>
            <w:tcW w:type="dxa" w:w="3408"/>
            <w:vAlign w:val="top"/>
          </w:tcPr>
          <w:p>
            <w:r>
              <w:rPr>
                <w:sz w:val="15"/>
              </w:rPr>
              <w:t>PHAR-THR-031</w:t>
            </w:r>
          </w:p>
        </w:tc>
        <w:tc>
          <w:tcPr>
            <w:tcW w:type="dxa" w:w="3408"/>
            <w:vAlign w:val="top"/>
          </w:tcPr>
          <w:p>
            <w:r>
              <w:rPr>
                <w:sz w:val="15"/>
              </w:rPr>
              <w:t>Cloud-service concentration failure</w:t>
            </w:r>
          </w:p>
        </w:tc>
        <w:tc>
          <w:tcPr>
            <w:tcW w:type="dxa" w:w="3408"/>
            <w:vAlign w:val="top"/>
          </w:tcPr>
          <w:p>
            <w:r>
              <w:rPr>
                <w:sz w:val="15"/>
              </w:rPr>
              <w:t>Threat-model entry; not evidence that the event has occurred.</w:t>
            </w:r>
          </w:p>
        </w:tc>
      </w:tr>
      <w:tr>
        <w:tc>
          <w:tcPr>
            <w:tcW w:type="dxa" w:w="3408"/>
            <w:vAlign w:val="top"/>
          </w:tcPr>
          <w:p>
            <w:r>
              <w:rPr>
                <w:sz w:val="15"/>
              </w:rPr>
              <w:t>PHAR-THR-032</w:t>
            </w:r>
          </w:p>
        </w:tc>
        <w:tc>
          <w:tcPr>
            <w:tcW w:type="dxa" w:w="3408"/>
            <w:vAlign w:val="top"/>
          </w:tcPr>
          <w:p>
            <w:r>
              <w:rPr>
                <w:sz w:val="15"/>
              </w:rPr>
              <w:t>Model extraction</w:t>
            </w:r>
          </w:p>
        </w:tc>
        <w:tc>
          <w:tcPr>
            <w:tcW w:type="dxa" w:w="3408"/>
            <w:vAlign w:val="top"/>
          </w:tcPr>
          <w:p>
            <w:r>
              <w:rPr>
                <w:sz w:val="15"/>
              </w:rPr>
              <w:t>Threat-model entry; not evidence that the event has occurred.</w:t>
            </w:r>
          </w:p>
        </w:tc>
      </w:tr>
      <w:tr>
        <w:tc>
          <w:tcPr>
            <w:tcW w:type="dxa" w:w="3408"/>
            <w:vAlign w:val="top"/>
          </w:tcPr>
          <w:p>
            <w:r>
              <w:rPr>
                <w:sz w:val="15"/>
              </w:rPr>
              <w:t>PHAR-THR-033</w:t>
            </w:r>
          </w:p>
        </w:tc>
        <w:tc>
          <w:tcPr>
            <w:tcW w:type="dxa" w:w="3408"/>
            <w:vAlign w:val="top"/>
          </w:tcPr>
          <w:p>
            <w:r>
              <w:rPr>
                <w:sz w:val="15"/>
              </w:rPr>
              <w:t>Sensitive-data leakage</w:t>
            </w:r>
          </w:p>
        </w:tc>
        <w:tc>
          <w:tcPr>
            <w:tcW w:type="dxa" w:w="3408"/>
            <w:vAlign w:val="top"/>
          </w:tcPr>
          <w:p>
            <w:r>
              <w:rPr>
                <w:sz w:val="15"/>
              </w:rPr>
              <w:t>Threat-model entry; not evidence that the event has occurred.</w:t>
            </w:r>
          </w:p>
        </w:tc>
      </w:tr>
      <w:tr>
        <w:tc>
          <w:tcPr>
            <w:tcW w:type="dxa" w:w="3408"/>
            <w:vAlign w:val="top"/>
          </w:tcPr>
          <w:p>
            <w:r>
              <w:rPr>
                <w:sz w:val="15"/>
              </w:rPr>
              <w:t>PHAR-THR-034</w:t>
            </w:r>
          </w:p>
        </w:tc>
        <w:tc>
          <w:tcPr>
            <w:tcW w:type="dxa" w:w="3408"/>
            <w:vAlign w:val="top"/>
          </w:tcPr>
          <w:p>
            <w:r>
              <w:rPr>
                <w:sz w:val="15"/>
              </w:rPr>
              <w:t>Insecure agentic actions</w:t>
            </w:r>
          </w:p>
        </w:tc>
        <w:tc>
          <w:tcPr>
            <w:tcW w:type="dxa" w:w="3408"/>
            <w:vAlign w:val="top"/>
          </w:tcPr>
          <w:p>
            <w:r>
              <w:rPr>
                <w:sz w:val="15"/>
              </w:rPr>
              <w:t>Threat-model entry; not evidence that the event has occurred.</w:t>
            </w:r>
          </w:p>
        </w:tc>
      </w:tr>
      <w:tr>
        <w:tc>
          <w:tcPr>
            <w:tcW w:type="dxa" w:w="3408"/>
            <w:vAlign w:val="top"/>
          </w:tcPr>
          <w:p>
            <w:r>
              <w:rPr>
                <w:sz w:val="15"/>
              </w:rPr>
              <w:t>PHAR-THR-035</w:t>
            </w:r>
          </w:p>
        </w:tc>
        <w:tc>
          <w:tcPr>
            <w:tcW w:type="dxa" w:w="3408"/>
            <w:vAlign w:val="top"/>
          </w:tcPr>
          <w:p>
            <w:r>
              <w:rPr>
                <w:sz w:val="15"/>
              </w:rPr>
              <w:t>Excessive system permissions</w:t>
            </w:r>
          </w:p>
        </w:tc>
        <w:tc>
          <w:tcPr>
            <w:tcW w:type="dxa" w:w="3408"/>
            <w:vAlign w:val="top"/>
          </w:tcPr>
          <w:p>
            <w:r>
              <w:rPr>
                <w:sz w:val="15"/>
              </w:rPr>
              <w:t>Threat-model entry; not evidence that the event has occurred.</w:t>
            </w:r>
          </w:p>
        </w:tc>
      </w:tr>
      <w:tr>
        <w:tc>
          <w:tcPr>
            <w:tcW w:type="dxa" w:w="3408"/>
            <w:vAlign w:val="top"/>
          </w:tcPr>
          <w:p>
            <w:r>
              <w:rPr>
                <w:sz w:val="15"/>
              </w:rPr>
              <w:t>PHAR-THR-036</w:t>
            </w:r>
          </w:p>
        </w:tc>
        <w:tc>
          <w:tcPr>
            <w:tcW w:type="dxa" w:w="3408"/>
            <w:vAlign w:val="top"/>
          </w:tcPr>
          <w:p>
            <w:r>
              <w:rPr>
                <w:sz w:val="15"/>
              </w:rPr>
              <w:t>Unauthorised tool use</w:t>
            </w:r>
          </w:p>
        </w:tc>
        <w:tc>
          <w:tcPr>
            <w:tcW w:type="dxa" w:w="3408"/>
            <w:vAlign w:val="top"/>
          </w:tcPr>
          <w:p>
            <w:r>
              <w:rPr>
                <w:sz w:val="15"/>
              </w:rPr>
              <w:t>Threat-model entry; not evidence that the event has occurred.</w:t>
            </w:r>
          </w:p>
        </w:tc>
      </w:tr>
      <w:tr>
        <w:tc>
          <w:tcPr>
            <w:tcW w:type="dxa" w:w="3408"/>
            <w:vAlign w:val="top"/>
          </w:tcPr>
          <w:p>
            <w:r>
              <w:rPr>
                <w:sz w:val="15"/>
              </w:rPr>
              <w:t>PHAR-THR-037</w:t>
            </w:r>
          </w:p>
        </w:tc>
        <w:tc>
          <w:tcPr>
            <w:tcW w:type="dxa" w:w="3408"/>
            <w:vAlign w:val="top"/>
          </w:tcPr>
          <w:p>
            <w:r>
              <w:rPr>
                <w:sz w:val="15"/>
              </w:rPr>
              <w:t>Supplier software-update compromise</w:t>
            </w:r>
          </w:p>
        </w:tc>
        <w:tc>
          <w:tcPr>
            <w:tcW w:type="dxa" w:w="3408"/>
            <w:vAlign w:val="top"/>
          </w:tcPr>
          <w:p>
            <w:r>
              <w:rPr>
                <w:sz w:val="15"/>
              </w:rPr>
              <w:t>Threat-model entry; not evidence that the event has occurred.</w:t>
            </w:r>
          </w:p>
        </w:tc>
      </w:tr>
      <w:tr>
        <w:tc>
          <w:tcPr>
            <w:tcW w:type="dxa" w:w="3408"/>
            <w:vAlign w:val="top"/>
          </w:tcPr>
          <w:p>
            <w:r>
              <w:rPr>
                <w:sz w:val="15"/>
              </w:rPr>
              <w:t>PHAR-THR-038</w:t>
            </w:r>
          </w:p>
        </w:tc>
        <w:tc>
          <w:tcPr>
            <w:tcW w:type="dxa" w:w="3408"/>
            <w:vAlign w:val="top"/>
          </w:tcPr>
          <w:p>
            <w:r>
              <w:rPr>
                <w:sz w:val="15"/>
              </w:rPr>
              <w:t>Counterfeit-classification evasion</w:t>
            </w:r>
          </w:p>
        </w:tc>
        <w:tc>
          <w:tcPr>
            <w:tcW w:type="dxa" w:w="3408"/>
            <w:vAlign w:val="top"/>
          </w:tcPr>
          <w:p>
            <w:r>
              <w:rPr>
                <w:sz w:val="15"/>
              </w:rPr>
              <w:t>Threat-model entry; not evidence that the event has occurred.</w:t>
            </w:r>
          </w:p>
        </w:tc>
      </w:tr>
      <w:tr>
        <w:tc>
          <w:tcPr>
            <w:tcW w:type="dxa" w:w="3408"/>
            <w:vAlign w:val="top"/>
          </w:tcPr>
          <w:p>
            <w:r>
              <w:rPr>
                <w:sz w:val="15"/>
              </w:rPr>
              <w:t>PHAR-THR-039</w:t>
            </w:r>
          </w:p>
        </w:tc>
        <w:tc>
          <w:tcPr>
            <w:tcW w:type="dxa" w:w="3408"/>
            <w:vAlign w:val="top"/>
          </w:tcPr>
          <w:p>
            <w:r>
              <w:rPr>
                <w:sz w:val="15"/>
              </w:rPr>
              <w:t>Cold-chain anomaly concealment</w:t>
            </w:r>
          </w:p>
        </w:tc>
        <w:tc>
          <w:tcPr>
            <w:tcW w:type="dxa" w:w="3408"/>
            <w:vAlign w:val="top"/>
          </w:tcPr>
          <w:p>
            <w:r>
              <w:rPr>
                <w:sz w:val="15"/>
              </w:rPr>
              <w:t>Threat-model entry; not evidence that the event has occurred.</w:t>
            </w:r>
          </w:p>
        </w:tc>
      </w:tr>
      <w:tr>
        <w:tc>
          <w:tcPr>
            <w:tcW w:type="dxa" w:w="3408"/>
            <w:vAlign w:val="top"/>
          </w:tcPr>
          <w:p>
            <w:r>
              <w:rPr>
                <w:sz w:val="15"/>
              </w:rPr>
              <w:t>PHAR-THR-040</w:t>
            </w:r>
          </w:p>
        </w:tc>
        <w:tc>
          <w:tcPr>
            <w:tcW w:type="dxa" w:w="3408"/>
            <w:vAlign w:val="top"/>
          </w:tcPr>
          <w:p>
            <w:r>
              <w:rPr>
                <w:sz w:val="15"/>
              </w:rPr>
              <w:t>Business-continuity failure caused by AI dependency</w:t>
            </w:r>
          </w:p>
        </w:tc>
        <w:tc>
          <w:tcPr>
            <w:tcW w:type="dxa" w:w="3408"/>
            <w:vAlign w:val="top"/>
          </w:tcPr>
          <w:p>
            <w:r>
              <w:rPr>
                <w:sz w:val="15"/>
              </w:rPr>
              <w:t>Threat-model entry; not evidence that the event has occurred.</w:t>
            </w:r>
          </w:p>
        </w:tc>
      </w:tr>
      <w:tr>
        <w:tc>
          <w:tcPr>
            <w:tcW w:type="dxa" w:w="3408"/>
            <w:vAlign w:val="top"/>
          </w:tcPr>
          <w:p>
            <w:r>
              <w:rPr>
                <w:sz w:val="15"/>
              </w:rPr>
              <w:t>PHAR-THR-041</w:t>
            </w:r>
          </w:p>
        </w:tc>
        <w:tc>
          <w:tcPr>
            <w:tcW w:type="dxa" w:w="3408"/>
            <w:vAlign w:val="top"/>
          </w:tcPr>
          <w:p>
            <w:r>
              <w:rPr>
                <w:sz w:val="15"/>
              </w:rPr>
              <w:t>Integrity failure in CAPA or deviation analysis</w:t>
            </w:r>
          </w:p>
        </w:tc>
        <w:tc>
          <w:tcPr>
            <w:tcW w:type="dxa" w:w="3408"/>
            <w:vAlign w:val="top"/>
          </w:tcPr>
          <w:p>
            <w:r>
              <w:rPr>
                <w:sz w:val="15"/>
              </w:rPr>
              <w:t>Threat-model entry; not evidence that the event has occurred.</w:t>
            </w:r>
          </w:p>
        </w:tc>
      </w:tr>
      <w:tr>
        <w:tc>
          <w:tcPr>
            <w:tcW w:type="dxa" w:w="3408"/>
            <w:vAlign w:val="top"/>
          </w:tcPr>
          <w:p>
            <w:r>
              <w:rPr>
                <w:sz w:val="15"/>
              </w:rPr>
              <w:t>PHAR-THR-042</w:t>
            </w:r>
          </w:p>
        </w:tc>
        <w:tc>
          <w:tcPr>
            <w:tcW w:type="dxa" w:w="3408"/>
            <w:vAlign w:val="top"/>
          </w:tcPr>
          <w:p>
            <w:r>
              <w:rPr>
                <w:sz w:val="15"/>
              </w:rPr>
              <w:t>Automation bias</w:t>
            </w:r>
          </w:p>
        </w:tc>
        <w:tc>
          <w:tcPr>
            <w:tcW w:type="dxa" w:w="3408"/>
            <w:vAlign w:val="top"/>
          </w:tcPr>
          <w:p>
            <w:r>
              <w:rPr>
                <w:sz w:val="15"/>
              </w:rPr>
              <w:t>Threat-model entry; not evidence that the event has occurred.</w:t>
            </w:r>
          </w:p>
        </w:tc>
      </w:tr>
      <w:tr>
        <w:tc>
          <w:tcPr>
            <w:tcW w:type="dxa" w:w="3408"/>
            <w:vAlign w:val="top"/>
          </w:tcPr>
          <w:p>
            <w:r>
              <w:rPr>
                <w:sz w:val="15"/>
              </w:rPr>
              <w:t>PHAR-THR-043</w:t>
            </w:r>
          </w:p>
        </w:tc>
        <w:tc>
          <w:tcPr>
            <w:tcW w:type="dxa" w:w="3408"/>
            <w:vAlign w:val="top"/>
          </w:tcPr>
          <w:p>
            <w:r>
              <w:rPr>
                <w:sz w:val="15"/>
              </w:rPr>
              <w:t>Underqualified human review</w:t>
            </w:r>
          </w:p>
        </w:tc>
        <w:tc>
          <w:tcPr>
            <w:tcW w:type="dxa" w:w="3408"/>
            <w:vAlign w:val="top"/>
          </w:tcPr>
          <w:p>
            <w:r>
              <w:rPr>
                <w:sz w:val="15"/>
              </w:rPr>
              <w:t>Threat-model entry; not evidence that the event has occurred.</w:t>
            </w:r>
          </w:p>
        </w:tc>
      </w:tr>
      <w:tr>
        <w:tc>
          <w:tcPr>
            <w:tcW w:type="dxa" w:w="3408"/>
            <w:vAlign w:val="top"/>
          </w:tcPr>
          <w:p>
            <w:r>
              <w:rPr>
                <w:sz w:val="15"/>
              </w:rPr>
              <w:t>PHAR-THR-044</w:t>
            </w:r>
          </w:p>
        </w:tc>
        <w:tc>
          <w:tcPr>
            <w:tcW w:type="dxa" w:w="3408"/>
            <w:vAlign w:val="top"/>
          </w:tcPr>
          <w:p>
            <w:r>
              <w:rPr>
                <w:sz w:val="15"/>
              </w:rPr>
              <w:t>Inadequate segregation of duties</w:t>
            </w:r>
          </w:p>
        </w:tc>
        <w:tc>
          <w:tcPr>
            <w:tcW w:type="dxa" w:w="3408"/>
            <w:vAlign w:val="top"/>
          </w:tcPr>
          <w:p>
            <w:r>
              <w:rPr>
                <w:sz w:val="15"/>
              </w:rPr>
              <w:t>Threat-model entry; not evidence that the event has occurred.</w:t>
            </w:r>
          </w:p>
        </w:tc>
      </w:tr>
      <w:tr>
        <w:tc>
          <w:tcPr>
            <w:tcW w:type="dxa" w:w="3408"/>
            <w:vAlign w:val="top"/>
          </w:tcPr>
          <w:p>
            <w:r>
              <w:rPr>
                <w:sz w:val="15"/>
              </w:rPr>
              <w:t>PHAR-THR-045</w:t>
            </w:r>
          </w:p>
        </w:tc>
        <w:tc>
          <w:tcPr>
            <w:tcW w:type="dxa" w:w="3408"/>
            <w:vAlign w:val="top"/>
          </w:tcPr>
          <w:p>
            <w:r>
              <w:rPr>
                <w:sz w:val="15"/>
              </w:rPr>
              <w:t>Incomplete traceability</w:t>
            </w:r>
          </w:p>
        </w:tc>
        <w:tc>
          <w:tcPr>
            <w:tcW w:type="dxa" w:w="3408"/>
            <w:vAlign w:val="top"/>
          </w:tcPr>
          <w:p>
            <w:r>
              <w:rPr>
                <w:sz w:val="15"/>
              </w:rPr>
              <w:t>Threat-model entry; not evidence that the event has occurred.</w:t>
            </w:r>
          </w:p>
        </w:tc>
      </w:tr>
      <w:tr>
        <w:tc>
          <w:tcPr>
            <w:tcW w:type="dxa" w:w="3408"/>
            <w:vAlign w:val="top"/>
          </w:tcPr>
          <w:p>
            <w:r>
              <w:rPr>
                <w:sz w:val="15"/>
              </w:rPr>
              <w:t>PHAR-THR-046</w:t>
            </w:r>
          </w:p>
        </w:tc>
        <w:tc>
          <w:tcPr>
            <w:tcW w:type="dxa" w:w="3408"/>
            <w:vAlign w:val="top"/>
          </w:tcPr>
          <w:p>
            <w:r>
              <w:rPr>
                <w:sz w:val="15"/>
              </w:rPr>
              <w:t>Insufficient reproducibility</w:t>
            </w:r>
          </w:p>
        </w:tc>
        <w:tc>
          <w:tcPr>
            <w:tcW w:type="dxa" w:w="3408"/>
            <w:vAlign w:val="top"/>
          </w:tcPr>
          <w:p>
            <w:r>
              <w:rPr>
                <w:sz w:val="15"/>
              </w:rPr>
              <w:t>Threat-model entry; not evidence that the event has occurred.</w:t>
            </w:r>
          </w:p>
        </w:tc>
      </w:tr>
      <w:tr>
        <w:tc>
          <w:tcPr>
            <w:tcW w:type="dxa" w:w="3408"/>
            <w:vAlign w:val="top"/>
          </w:tcPr>
          <w:p>
            <w:r>
              <w:rPr>
                <w:sz w:val="15"/>
              </w:rPr>
              <w:t>PHAR-THR-047</w:t>
            </w:r>
          </w:p>
        </w:tc>
        <w:tc>
          <w:tcPr>
            <w:tcW w:type="dxa" w:w="3408"/>
            <w:vAlign w:val="top"/>
          </w:tcPr>
          <w:p>
            <w:r>
              <w:rPr>
                <w:sz w:val="15"/>
              </w:rPr>
              <w:t>Inability to reconstruct model-supported decisions</w:t>
            </w:r>
          </w:p>
        </w:tc>
        <w:tc>
          <w:tcPr>
            <w:tcW w:type="dxa" w:w="3408"/>
            <w:vAlign w:val="top"/>
          </w:tcPr>
          <w:p>
            <w:r>
              <w:rPr>
                <w:sz w:val="15"/>
              </w:rPr>
              <w:t>Threat-model entry; not evidence that the event has occurred.</w:t>
            </w:r>
          </w:p>
        </w:tc>
      </w:tr>
      <w:tr>
        <w:tc>
          <w:tcPr>
            <w:tcW w:type="dxa" w:w="3408"/>
            <w:vAlign w:val="top"/>
          </w:tcPr>
          <w:p>
            <w:r>
              <w:rPr>
                <w:sz w:val="15"/>
              </w:rPr>
              <w:t>PHAR-THR-048</w:t>
            </w:r>
          </w:p>
        </w:tc>
        <w:tc>
          <w:tcPr>
            <w:tcW w:type="dxa" w:w="3408"/>
            <w:vAlign w:val="top"/>
          </w:tcPr>
          <w:p>
            <w:r>
              <w:rPr>
                <w:sz w:val="15"/>
              </w:rPr>
              <w:t>Jurisdictionally incompatible data processing</w:t>
            </w:r>
          </w:p>
        </w:tc>
        <w:tc>
          <w:tcPr>
            <w:tcW w:type="dxa" w:w="3408"/>
            <w:vAlign w:val="top"/>
          </w:tcPr>
          <w:p>
            <w:r>
              <w:rPr>
                <w:sz w:val="15"/>
              </w:rPr>
              <w:t>Threat-model entry; not evidence that the event has occurred.</w:t>
            </w:r>
          </w:p>
        </w:tc>
      </w:tr>
      <w:tr>
        <w:tc>
          <w:tcPr>
            <w:tcW w:type="dxa" w:w="3408"/>
            <w:vAlign w:val="top"/>
          </w:tcPr>
          <w:p>
            <w:r>
              <w:rPr>
                <w:sz w:val="15"/>
              </w:rPr>
              <w:t>PHAR-THR-049</w:t>
            </w:r>
          </w:p>
        </w:tc>
        <w:tc>
          <w:tcPr>
            <w:tcW w:type="dxa" w:w="3408"/>
            <w:vAlign w:val="top"/>
          </w:tcPr>
          <w:p>
            <w:r>
              <w:rPr>
                <w:sz w:val="15"/>
              </w:rPr>
              <w:t>Unauthorised cross-border data exposure</w:t>
            </w:r>
          </w:p>
        </w:tc>
        <w:tc>
          <w:tcPr>
            <w:tcW w:type="dxa" w:w="3408"/>
            <w:vAlign w:val="top"/>
          </w:tcPr>
          <w:p>
            <w:r>
              <w:rPr>
                <w:sz w:val="15"/>
              </w:rPr>
              <w:t>Threat-model entry; not evidence that the event has occurred.</w:t>
            </w:r>
          </w:p>
        </w:tc>
      </w:tr>
      <w:tr>
        <w:tc>
          <w:tcPr>
            <w:tcW w:type="dxa" w:w="3408"/>
            <w:vAlign w:val="top"/>
          </w:tcPr>
          <w:p>
            <w:r>
              <w:rPr>
                <w:sz w:val="15"/>
              </w:rPr>
              <w:t>PHAR-THR-050</w:t>
            </w:r>
          </w:p>
        </w:tc>
        <w:tc>
          <w:tcPr>
            <w:tcW w:type="dxa" w:w="3408"/>
            <w:vAlign w:val="top"/>
          </w:tcPr>
          <w:p>
            <w:r>
              <w:rPr>
                <w:sz w:val="15"/>
              </w:rPr>
              <w:t>Intellectual-property contamination from external models</w:t>
            </w:r>
          </w:p>
        </w:tc>
        <w:tc>
          <w:tcPr>
            <w:tcW w:type="dxa" w:w="3408"/>
            <w:vAlign w:val="top"/>
          </w:tcPr>
          <w:p>
            <w:r>
              <w:rPr>
                <w:sz w:val="15"/>
              </w:rPr>
              <w:t>Threat-model entry; not evidence that the event has occurred.</w:t>
            </w:r>
          </w:p>
        </w:tc>
      </w:tr>
    </w:tbl>
    <w:p/>
    <w:p>
      <w:pPr>
        <w:pStyle w:val="Heading1"/>
      </w:pPr>
      <w:r>
        <w:t>6. Control-by-Control Guidance</w:t>
      </w:r>
    </w:p>
    <w:p>
      <w:pPr>
        <w:pStyle w:val="Heading2"/>
      </w:pPr>
      <w:r>
        <w:t>D1-CTL-01 — DATASET PROVENANCE &amp; POISONING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D1: MODEL INTEGRITY &amp; ADVERSARIAL ROBUSTNESS</w:t>
            </w:r>
          </w:p>
        </w:tc>
      </w:tr>
      <w:tr>
        <w:tc>
          <w:tcPr>
            <w:tcW w:type="dxa" w:w="5112"/>
            <w:vAlign w:val="top"/>
          </w:tcPr>
          <w:p>
            <w:r>
              <w:rPr>
                <w:sz w:val="15"/>
              </w:rPr>
              <w:t>Authoritative source statement</w:t>
            </w:r>
          </w:p>
        </w:tc>
        <w:tc>
          <w:tcPr>
            <w:tcW w:type="dxa" w:w="5112"/>
            <w:vAlign w:val="top"/>
          </w:tcPr>
          <w:p>
            <w:r>
              <w:rPr>
                <w:sz w:val="15"/>
              </w:rPr>
              <w:t>Hash verification + source allowlist + poisoning detection.</w:t>
            </w:r>
          </w:p>
        </w:tc>
      </w:tr>
      <w:tr>
        <w:tc>
          <w:tcPr>
            <w:tcW w:type="dxa" w:w="5112"/>
            <w:vAlign w:val="top"/>
          </w:tcPr>
          <w:p>
            <w:r>
              <w:rPr>
                <w:sz w:val="15"/>
              </w:rPr>
              <w:t>Pharmaceutical interpretation</w:t>
            </w:r>
          </w:p>
        </w:tc>
        <w:tc>
          <w:tcPr>
            <w:tcW w:type="dxa" w:w="5112"/>
            <w:vAlign w:val="top"/>
          </w:tcPr>
          <w:p>
            <w:r>
              <w:rPr>
                <w:sz w:val="15"/>
              </w:rPr>
              <w:t>Protect provenance, integrity, versioning and behavioural stability of models, datasets, embeddings and adapters used across the medicinal-product lifecycle.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PHAR-THR-001, PHAR-THR-002, PHAR-THR-021, PHAR-THR-022, PHAR-THR-023, PHAR-THR-026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D1-CTL-02 — MODEL EXTRACTION RESISTANCE</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D1: MODEL INTEGRITY &amp; ADVERSARIAL ROBUSTNESS</w:t>
            </w:r>
          </w:p>
        </w:tc>
      </w:tr>
      <w:tr>
        <w:tc>
          <w:tcPr>
            <w:tcW w:type="dxa" w:w="5112"/>
            <w:vAlign w:val="top"/>
          </w:tcPr>
          <w:p>
            <w:r>
              <w:rPr>
                <w:sz w:val="15"/>
              </w:rPr>
              <w:t>Authoritative source statement</w:t>
            </w:r>
          </w:p>
        </w:tc>
        <w:tc>
          <w:tcPr>
            <w:tcW w:type="dxa" w:w="5112"/>
            <w:vAlign w:val="top"/>
          </w:tcPr>
          <w:p>
            <w:r>
              <w:rPr>
                <w:sz w:val="15"/>
              </w:rPr>
              <w:t>Rate limiting + diversity detection + extraction monitoring.</w:t>
            </w:r>
          </w:p>
        </w:tc>
      </w:tr>
      <w:tr>
        <w:tc>
          <w:tcPr>
            <w:tcW w:type="dxa" w:w="5112"/>
            <w:vAlign w:val="top"/>
          </w:tcPr>
          <w:p>
            <w:r>
              <w:rPr>
                <w:sz w:val="15"/>
              </w:rPr>
              <w:t>Pharmaceutical interpretation</w:t>
            </w:r>
          </w:p>
        </w:tc>
        <w:tc>
          <w:tcPr>
            <w:tcW w:type="dxa" w:w="5112"/>
            <w:vAlign w:val="top"/>
          </w:tcPr>
          <w:p>
            <w:r>
              <w:rPr>
                <w:sz w:val="15"/>
              </w:rPr>
              <w:t>Protect provenance, integrity, versioning and behavioural stability of models, datasets, embeddings and adapters used across the medicinal-product lifecycle.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PHAR-THR-001, PHAR-THR-002, PHAR-THR-021, PHAR-THR-022, PHAR-THR-023, PHAR-THR-026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D1-CTL-03 — BEHAVIORAL DRIFT DETECTION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D1: MODEL INTEGRITY &amp; ADVERSARIAL ROBUSTNESS</w:t>
            </w:r>
          </w:p>
        </w:tc>
      </w:tr>
      <w:tr>
        <w:tc>
          <w:tcPr>
            <w:tcW w:type="dxa" w:w="5112"/>
            <w:vAlign w:val="top"/>
          </w:tcPr>
          <w:p>
            <w:r>
              <w:rPr>
                <w:sz w:val="15"/>
              </w:rPr>
              <w:t>Authoritative source statement</w:t>
            </w:r>
          </w:p>
        </w:tc>
        <w:tc>
          <w:tcPr>
            <w:tcW w:type="dxa" w:w="5112"/>
            <w:vAlign w:val="top"/>
          </w:tcPr>
          <w:p>
            <w:r>
              <w:rPr>
                <w:sz w:val="15"/>
              </w:rPr>
              <w:t>Baseline profiling + KL divergence monitoring + accuracy tracking.</w:t>
            </w:r>
          </w:p>
        </w:tc>
      </w:tr>
      <w:tr>
        <w:tc>
          <w:tcPr>
            <w:tcW w:type="dxa" w:w="5112"/>
            <w:vAlign w:val="top"/>
          </w:tcPr>
          <w:p>
            <w:r>
              <w:rPr>
                <w:sz w:val="15"/>
              </w:rPr>
              <w:t>Pharmaceutical interpretation</w:t>
            </w:r>
          </w:p>
        </w:tc>
        <w:tc>
          <w:tcPr>
            <w:tcW w:type="dxa" w:w="5112"/>
            <w:vAlign w:val="top"/>
          </w:tcPr>
          <w:p>
            <w:r>
              <w:rPr>
                <w:sz w:val="15"/>
              </w:rPr>
              <w:t>Protect provenance, integrity, versioning and behavioural stability of models, datasets, embeddings and adapters used across the medicinal-product lifecycle.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PHAR-THR-001, PHAR-THR-002, PHAR-THR-021, PHAR-THR-022, PHAR-THR-023, PHAR-THR-026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D1-CTL-04 — FEDERATED LEARNING POISONING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D1: MODEL INTEGRITY &amp; ADVERSARIAL ROBUSTNESS</w:t>
            </w:r>
          </w:p>
        </w:tc>
      </w:tr>
      <w:tr>
        <w:tc>
          <w:tcPr>
            <w:tcW w:type="dxa" w:w="5112"/>
            <w:vAlign w:val="top"/>
          </w:tcPr>
          <w:p>
            <w:r>
              <w:rPr>
                <w:sz w:val="15"/>
              </w:rPr>
              <w:t>Authoritative source statement</w:t>
            </w:r>
          </w:p>
        </w:tc>
        <w:tc>
          <w:tcPr>
            <w:tcW w:type="dxa" w:w="5112"/>
            <w:vAlign w:val="top"/>
          </w:tcPr>
          <w:p>
            <w:r>
              <w:rPr>
                <w:sz w:val="15"/>
              </w:rPr>
              <w:t>Gradient anomaly detection + robust aggregation.</w:t>
            </w:r>
          </w:p>
        </w:tc>
      </w:tr>
      <w:tr>
        <w:tc>
          <w:tcPr>
            <w:tcW w:type="dxa" w:w="5112"/>
            <w:vAlign w:val="top"/>
          </w:tcPr>
          <w:p>
            <w:r>
              <w:rPr>
                <w:sz w:val="15"/>
              </w:rPr>
              <w:t>Pharmaceutical interpretation</w:t>
            </w:r>
          </w:p>
        </w:tc>
        <w:tc>
          <w:tcPr>
            <w:tcW w:type="dxa" w:w="5112"/>
            <w:vAlign w:val="top"/>
          </w:tcPr>
          <w:p>
            <w:r>
              <w:rPr>
                <w:sz w:val="15"/>
              </w:rPr>
              <w:t>Protect provenance, integrity, versioning and behavioural stability of models, datasets, embeddings and adapters used across the medicinal-product lifecycle.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PHAR-THR-001, PHAR-THR-002, PHAR-THR-021, PHAR-THR-022, PHAR-THR-023, PHAR-THR-026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D1-CTL-05 — EMBEDDING SPACE ROBUSTNESS</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D1: MODEL INTEGRITY &amp; ADVERSARIAL ROBUSTNESS</w:t>
            </w:r>
          </w:p>
        </w:tc>
      </w:tr>
      <w:tr>
        <w:tc>
          <w:tcPr>
            <w:tcW w:type="dxa" w:w="5112"/>
            <w:vAlign w:val="top"/>
          </w:tcPr>
          <w:p>
            <w:r>
              <w:rPr>
                <w:sz w:val="15"/>
              </w:rPr>
              <w:t>Authoritative source statement</w:t>
            </w:r>
          </w:p>
        </w:tc>
        <w:tc>
          <w:tcPr>
            <w:tcW w:type="dxa" w:w="5112"/>
            <w:vAlign w:val="top"/>
          </w:tcPr>
          <w:p>
            <w:r>
              <w:rPr>
                <w:sz w:val="15"/>
              </w:rPr>
              <w:t>Adversarial training + certified robustness measurement.</w:t>
            </w:r>
          </w:p>
        </w:tc>
      </w:tr>
      <w:tr>
        <w:tc>
          <w:tcPr>
            <w:tcW w:type="dxa" w:w="5112"/>
            <w:vAlign w:val="top"/>
          </w:tcPr>
          <w:p>
            <w:r>
              <w:rPr>
                <w:sz w:val="15"/>
              </w:rPr>
              <w:t>Pharmaceutical interpretation</w:t>
            </w:r>
          </w:p>
        </w:tc>
        <w:tc>
          <w:tcPr>
            <w:tcW w:type="dxa" w:w="5112"/>
            <w:vAlign w:val="top"/>
          </w:tcPr>
          <w:p>
            <w:r>
              <w:rPr>
                <w:sz w:val="15"/>
              </w:rPr>
              <w:t>Protect provenance, integrity, versioning and behavioural stability of models, datasets, embeddings and adapters used across the medicinal-product lifecycle.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PHAR-THR-001, PHAR-THR-002, PHAR-THR-021, PHAR-THR-022, PHAR-THR-023, PHAR-THR-026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D1-CTL-06 — POST-QUANTUM MODEL SIGNING &amp; CRYPTO HARDENING</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D1: MODEL INTEGRITY &amp; ADVERSARIAL ROBUSTNESS</w:t>
            </w:r>
          </w:p>
        </w:tc>
      </w:tr>
      <w:tr>
        <w:tc>
          <w:tcPr>
            <w:tcW w:type="dxa" w:w="5112"/>
            <w:vAlign w:val="top"/>
          </w:tcPr>
          <w:p>
            <w:r>
              <w:rPr>
                <w:sz w:val="15"/>
              </w:rPr>
              <w:t>Authoritative source statement</w:t>
            </w:r>
          </w:p>
        </w:tc>
        <w:tc>
          <w:tcPr>
            <w:tcW w:type="dxa" w:w="5112"/>
            <w:vAlign w:val="top"/>
          </w:tcPr>
          <w:p>
            <w:r>
              <w:rPr>
                <w:sz w:val="15"/>
              </w:rPr>
              <w:t>PQC signing (ML-DSA/SLH-DSA) + PQC key exchange (ML-KEM).</w:t>
            </w:r>
          </w:p>
        </w:tc>
      </w:tr>
      <w:tr>
        <w:tc>
          <w:tcPr>
            <w:tcW w:type="dxa" w:w="5112"/>
            <w:vAlign w:val="top"/>
          </w:tcPr>
          <w:p>
            <w:r>
              <w:rPr>
                <w:sz w:val="15"/>
              </w:rPr>
              <w:t>Pharmaceutical interpretation</w:t>
            </w:r>
          </w:p>
        </w:tc>
        <w:tc>
          <w:tcPr>
            <w:tcW w:type="dxa" w:w="5112"/>
            <w:vAlign w:val="top"/>
          </w:tcPr>
          <w:p>
            <w:r>
              <w:rPr>
                <w:sz w:val="15"/>
              </w:rPr>
              <w:t>Protect provenance, integrity, versioning and behavioural stability of models, datasets, embeddings and adapters used across the medicinal-product lifecycle.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PHAR-THR-001, PHAR-THR-002, PHAR-THR-021, PHAR-THR-022, PHAR-THR-023, PHAR-THR-026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D1-CTL-07 — LORA/ADAPTER INTEGRITY VERIFICATION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D1: MODEL INTEGRITY &amp; ADVERSARIAL ROBUSTNESS</w:t>
            </w:r>
          </w:p>
        </w:tc>
      </w:tr>
      <w:tr>
        <w:tc>
          <w:tcPr>
            <w:tcW w:type="dxa" w:w="5112"/>
            <w:vAlign w:val="top"/>
          </w:tcPr>
          <w:p>
            <w:r>
              <w:rPr>
                <w:sz w:val="15"/>
              </w:rPr>
              <w:t>Authoritative source statement</w:t>
            </w:r>
          </w:p>
        </w:tc>
        <w:tc>
          <w:tcPr>
            <w:tcW w:type="dxa" w:w="5112"/>
            <w:vAlign w:val="top"/>
          </w:tcPr>
          <w:p>
            <w:r>
              <w:rPr>
                <w:sz w:val="15"/>
              </w:rPr>
              <w:t>Adapter scanning + provenance verification + registry allowlist.</w:t>
            </w:r>
          </w:p>
        </w:tc>
      </w:tr>
      <w:tr>
        <w:tc>
          <w:tcPr>
            <w:tcW w:type="dxa" w:w="5112"/>
            <w:vAlign w:val="top"/>
          </w:tcPr>
          <w:p>
            <w:r>
              <w:rPr>
                <w:sz w:val="15"/>
              </w:rPr>
              <w:t>Pharmaceutical interpretation</w:t>
            </w:r>
          </w:p>
        </w:tc>
        <w:tc>
          <w:tcPr>
            <w:tcW w:type="dxa" w:w="5112"/>
            <w:vAlign w:val="top"/>
          </w:tcPr>
          <w:p>
            <w:r>
              <w:rPr>
                <w:sz w:val="15"/>
              </w:rPr>
              <w:t>Protect provenance, integrity, versioning and behavioural stability of models, datasets, embeddings and adapters used across the medicinal-product lifecycle.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PHAR-THR-001, PHAR-THR-002, PHAR-THR-021, PHAR-THR-022, PHAR-THR-023, PHAR-THR-026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D1-CTL-08 — MODEL MERGE ATTACK DETECTION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D1: MODEL INTEGRITY &amp; ADVERSARIAL ROBUSTNESS</w:t>
            </w:r>
          </w:p>
        </w:tc>
      </w:tr>
      <w:tr>
        <w:tc>
          <w:tcPr>
            <w:tcW w:type="dxa" w:w="5112"/>
            <w:vAlign w:val="top"/>
          </w:tcPr>
          <w:p>
            <w:r>
              <w:rPr>
                <w:sz w:val="15"/>
              </w:rPr>
              <w:t>Authoritative source statement</w:t>
            </w:r>
          </w:p>
        </w:tc>
        <w:tc>
          <w:tcPr>
            <w:tcW w:type="dxa" w:w="5112"/>
            <w:vAlign w:val="top"/>
          </w:tcPr>
          <w:p>
            <w:r>
              <w:rPr>
                <w:sz w:val="15"/>
              </w:rPr>
              <w:t>Pre-registration behavioural evaluation + regression testing.</w:t>
            </w:r>
          </w:p>
        </w:tc>
      </w:tr>
      <w:tr>
        <w:tc>
          <w:tcPr>
            <w:tcW w:type="dxa" w:w="5112"/>
            <w:vAlign w:val="top"/>
          </w:tcPr>
          <w:p>
            <w:r>
              <w:rPr>
                <w:sz w:val="15"/>
              </w:rPr>
              <w:t>Pharmaceutical interpretation</w:t>
            </w:r>
          </w:p>
        </w:tc>
        <w:tc>
          <w:tcPr>
            <w:tcW w:type="dxa" w:w="5112"/>
            <w:vAlign w:val="top"/>
          </w:tcPr>
          <w:p>
            <w:r>
              <w:rPr>
                <w:sz w:val="15"/>
              </w:rPr>
              <w:t>Protect provenance, integrity, versioning and behavioural stability of models, datasets, embeddings and adapters used across the medicinal-product lifecycle.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PHAR-THR-001, PHAR-THR-002, PHAR-THR-021, PHAR-THR-022, PHAR-THR-023, PHAR-THR-026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D1-CTL-09 — QUANTIZATION BACKDOOR SCREENING</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D1: MODEL INTEGRITY &amp; ADVERSARIAL ROBUSTNESS</w:t>
            </w:r>
          </w:p>
        </w:tc>
      </w:tr>
      <w:tr>
        <w:tc>
          <w:tcPr>
            <w:tcW w:type="dxa" w:w="5112"/>
            <w:vAlign w:val="top"/>
          </w:tcPr>
          <w:p>
            <w:r>
              <w:rPr>
                <w:sz w:val="15"/>
              </w:rPr>
              <w:t>Authoritative source statement</w:t>
            </w:r>
          </w:p>
        </w:tc>
        <w:tc>
          <w:tcPr>
            <w:tcW w:type="dxa" w:w="5112"/>
            <w:vAlign w:val="top"/>
          </w:tcPr>
          <w:p>
            <w:r>
              <w:rPr>
                <w:sz w:val="15"/>
              </w:rPr>
              <w:t>Cross-precision behavioural comparison + delta threshold monitoring.</w:t>
            </w:r>
          </w:p>
        </w:tc>
      </w:tr>
      <w:tr>
        <w:tc>
          <w:tcPr>
            <w:tcW w:type="dxa" w:w="5112"/>
            <w:vAlign w:val="top"/>
          </w:tcPr>
          <w:p>
            <w:r>
              <w:rPr>
                <w:sz w:val="15"/>
              </w:rPr>
              <w:t>Pharmaceutical interpretation</w:t>
            </w:r>
          </w:p>
        </w:tc>
        <w:tc>
          <w:tcPr>
            <w:tcW w:type="dxa" w:w="5112"/>
            <w:vAlign w:val="top"/>
          </w:tcPr>
          <w:p>
            <w:r>
              <w:rPr>
                <w:sz w:val="15"/>
              </w:rPr>
              <w:t>Protect provenance, integrity, versioning and behavioural stability of models, datasets, embeddings and adapters used across the medicinal-product lifecycle.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PHAR-THR-001, PHAR-THR-002, PHAR-THR-021, PHAR-THR-022, PHAR-THR-023, PHAR-THR-026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D2-CTL-01 — DIRECT PROMPT INJECTION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D2: RUNTIME SECURITY &amp; ADVERSARIAL DEFENSE</w:t>
            </w:r>
          </w:p>
        </w:tc>
      </w:tr>
      <w:tr>
        <w:tc>
          <w:tcPr>
            <w:tcW w:type="dxa" w:w="5112"/>
            <w:vAlign w:val="top"/>
          </w:tcPr>
          <w:p>
            <w:r>
              <w:rPr>
                <w:sz w:val="15"/>
              </w:rPr>
              <w:t>Authoritative source statement</w:t>
            </w:r>
          </w:p>
        </w:tc>
        <w:tc>
          <w:tcPr>
            <w:tcW w:type="dxa" w:w="5112"/>
            <w:vAlign w:val="top"/>
          </w:tcPr>
          <w:p>
            <w:r>
              <w:rPr>
                <w:sz w:val="15"/>
              </w:rPr>
              <w:t>Input validation + adversarial pattern matching + system prompt isolation + guardrail sidecar.</w:t>
            </w:r>
          </w:p>
        </w:tc>
      </w:tr>
      <w:tr>
        <w:tc>
          <w:tcPr>
            <w:tcW w:type="dxa" w:w="5112"/>
            <w:vAlign w:val="top"/>
          </w:tcPr>
          <w:p>
            <w:r>
              <w:rPr>
                <w:sz w:val="15"/>
              </w:rPr>
              <w:t>Pharmaceutical interpretation</w:t>
            </w:r>
          </w:p>
        </w:tc>
        <w:tc>
          <w:tcPr>
            <w:tcW w:type="dxa" w:w="5112"/>
            <w:vAlign w:val="top"/>
          </w:tcPr>
          <w:p>
            <w:r>
              <w:rPr>
                <w:sz w:val="15"/>
              </w:rPr>
              <w:t>Prevent and detect hostile or malformed inputs, unsafe runtime behaviour, identity abuse and compromise of deployed pharmaceutical AI services.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PHAR-THR-027, PHAR-THR-029, PHAR-THR-030, PHAR-THR-033, PHAR-THR-035, PHAR-THR-036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D2-CTL-02 — INDIRECT PROMPT INJECTION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D2: RUNTIME SECURITY &amp; ADVERSARIAL DEFENSE</w:t>
            </w:r>
          </w:p>
        </w:tc>
      </w:tr>
      <w:tr>
        <w:tc>
          <w:tcPr>
            <w:tcW w:type="dxa" w:w="5112"/>
            <w:vAlign w:val="top"/>
          </w:tcPr>
          <w:p>
            <w:r>
              <w:rPr>
                <w:sz w:val="15"/>
              </w:rPr>
              <w:t>Authoritative source statement</w:t>
            </w:r>
          </w:p>
        </w:tc>
        <w:tc>
          <w:tcPr>
            <w:tcW w:type="dxa" w:w="5112"/>
            <w:vAlign w:val="top"/>
          </w:tcPr>
          <w:p>
            <w:r>
              <w:rPr>
                <w:sz w:val="15"/>
              </w:rPr>
              <w:t>Contextual separation + source allowlisting + output validation + RAG sanitization pipeline.</w:t>
            </w:r>
          </w:p>
        </w:tc>
      </w:tr>
      <w:tr>
        <w:tc>
          <w:tcPr>
            <w:tcW w:type="dxa" w:w="5112"/>
            <w:vAlign w:val="top"/>
          </w:tcPr>
          <w:p>
            <w:r>
              <w:rPr>
                <w:sz w:val="15"/>
              </w:rPr>
              <w:t>Pharmaceutical interpretation</w:t>
            </w:r>
          </w:p>
        </w:tc>
        <w:tc>
          <w:tcPr>
            <w:tcW w:type="dxa" w:w="5112"/>
            <w:vAlign w:val="top"/>
          </w:tcPr>
          <w:p>
            <w:r>
              <w:rPr>
                <w:sz w:val="15"/>
              </w:rPr>
              <w:t>Prevent and detect hostile or malformed inputs, unsafe runtime behaviour, identity abuse and compromise of deployed pharmaceutical AI services.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PHAR-THR-027, PHAR-THR-029, PHAR-THR-030, PHAR-THR-033, PHAR-THR-035, PHAR-THR-036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D2-CTL-03 — JAILBREAK RESISTANCE TESTING</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D2: RUNTIME SECURITY &amp; ADVERSARIAL DEFENSE</w:t>
            </w:r>
          </w:p>
        </w:tc>
      </w:tr>
      <w:tr>
        <w:tc>
          <w:tcPr>
            <w:tcW w:type="dxa" w:w="5112"/>
            <w:vAlign w:val="top"/>
          </w:tcPr>
          <w:p>
            <w:r>
              <w:rPr>
                <w:sz w:val="15"/>
              </w:rPr>
              <w:t>Authoritative source statement</w:t>
            </w:r>
          </w:p>
        </w:tc>
        <w:tc>
          <w:tcPr>
            <w:tcW w:type="dxa" w:w="5112"/>
            <w:vAlign w:val="top"/>
          </w:tcPr>
          <w:p>
            <w:r>
              <w:rPr>
                <w:sz w:val="15"/>
              </w:rPr>
              <w:t>Quarterly red-team prompt library + adversarial training + automated refusal monitoring.</w:t>
            </w:r>
          </w:p>
        </w:tc>
      </w:tr>
      <w:tr>
        <w:tc>
          <w:tcPr>
            <w:tcW w:type="dxa" w:w="5112"/>
            <w:vAlign w:val="top"/>
          </w:tcPr>
          <w:p>
            <w:r>
              <w:rPr>
                <w:sz w:val="15"/>
              </w:rPr>
              <w:t>Pharmaceutical interpretation</w:t>
            </w:r>
          </w:p>
        </w:tc>
        <w:tc>
          <w:tcPr>
            <w:tcW w:type="dxa" w:w="5112"/>
            <w:vAlign w:val="top"/>
          </w:tcPr>
          <w:p>
            <w:r>
              <w:rPr>
                <w:sz w:val="15"/>
              </w:rPr>
              <w:t>Prevent and detect hostile or malformed inputs, unsafe runtime behaviour, identity abuse and compromise of deployed pharmaceutical AI services.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PHAR-THR-027, PHAR-THR-029, PHAR-THR-030, PHAR-THR-033, PHAR-THR-035, PHAR-THR-036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D2-CTL-04 — MULTI-MODAL INJECTION DEFENSE</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D2: RUNTIME SECURITY &amp; ADVERSARIAL DEFENSE</w:t>
            </w:r>
          </w:p>
        </w:tc>
      </w:tr>
      <w:tr>
        <w:tc>
          <w:tcPr>
            <w:tcW w:type="dxa" w:w="5112"/>
            <w:vAlign w:val="top"/>
          </w:tcPr>
          <w:p>
            <w:r>
              <w:rPr>
                <w:sz w:val="15"/>
              </w:rPr>
              <w:t>Authoritative source statement</w:t>
            </w:r>
          </w:p>
        </w:tc>
        <w:tc>
          <w:tcPr>
            <w:tcW w:type="dxa" w:w="5112"/>
            <w:vAlign w:val="top"/>
          </w:tcPr>
          <w:p>
            <w:r>
              <w:rPr>
                <w:sz w:val="15"/>
              </w:rPr>
              <w:t>Multi-modal content scanning + steganography detection + modality-specific guardrails.</w:t>
            </w:r>
          </w:p>
        </w:tc>
      </w:tr>
      <w:tr>
        <w:tc>
          <w:tcPr>
            <w:tcW w:type="dxa" w:w="5112"/>
            <w:vAlign w:val="top"/>
          </w:tcPr>
          <w:p>
            <w:r>
              <w:rPr>
                <w:sz w:val="15"/>
              </w:rPr>
              <w:t>Pharmaceutical interpretation</w:t>
            </w:r>
          </w:p>
        </w:tc>
        <w:tc>
          <w:tcPr>
            <w:tcW w:type="dxa" w:w="5112"/>
            <w:vAlign w:val="top"/>
          </w:tcPr>
          <w:p>
            <w:r>
              <w:rPr>
                <w:sz w:val="15"/>
              </w:rPr>
              <w:t>Prevent and detect hostile or malformed inputs, unsafe runtime behaviour, identity abuse and compromise of deployed pharmaceutical AI services.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PHAR-THR-027, PHAR-THR-029, PHAR-THR-030, PHAR-THR-033, PHAR-THR-035, PHAR-THR-036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D2-CTL-05 — FUNCTION CALL/TOOL CALL INJECTION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D2: RUNTIME SECURITY &amp; ADVERSARIAL DEFENSE</w:t>
            </w:r>
          </w:p>
        </w:tc>
      </w:tr>
      <w:tr>
        <w:tc>
          <w:tcPr>
            <w:tcW w:type="dxa" w:w="5112"/>
            <w:vAlign w:val="top"/>
          </w:tcPr>
          <w:p>
            <w:r>
              <w:rPr>
                <w:sz w:val="15"/>
              </w:rPr>
              <w:t>Authoritative source statement</w:t>
            </w:r>
          </w:p>
        </w:tc>
        <w:tc>
          <w:tcPr>
            <w:tcW w:type="dxa" w:w="5112"/>
            <w:vAlign w:val="top"/>
          </w:tcPr>
          <w:p>
            <w:r>
              <w:rPr>
                <w:sz w:val="15"/>
              </w:rPr>
              <w:t>Parameter schema validation + allowlist enforcement + sandboxed execution.</w:t>
            </w:r>
          </w:p>
        </w:tc>
      </w:tr>
      <w:tr>
        <w:tc>
          <w:tcPr>
            <w:tcW w:type="dxa" w:w="5112"/>
            <w:vAlign w:val="top"/>
          </w:tcPr>
          <w:p>
            <w:r>
              <w:rPr>
                <w:sz w:val="15"/>
              </w:rPr>
              <w:t>Pharmaceutical interpretation</w:t>
            </w:r>
          </w:p>
        </w:tc>
        <w:tc>
          <w:tcPr>
            <w:tcW w:type="dxa" w:w="5112"/>
            <w:vAlign w:val="top"/>
          </w:tcPr>
          <w:p>
            <w:r>
              <w:rPr>
                <w:sz w:val="15"/>
              </w:rPr>
              <w:t>Prevent and detect hostile or malformed inputs, unsafe runtime behaviour, identity abuse and compromise of deployed pharmaceutical AI services.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PHAR-THR-027, PHAR-THR-029, PHAR-THR-030, PHAR-THR-033, PHAR-THR-035, PHAR-THR-036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D2-CTL-06 — CROSS-CONTEXT HIJACKING MITIGATION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D2: RUNTIME SECURITY &amp; ADVERSARIAL DEFENSE</w:t>
            </w:r>
          </w:p>
        </w:tc>
      </w:tr>
      <w:tr>
        <w:tc>
          <w:tcPr>
            <w:tcW w:type="dxa" w:w="5112"/>
            <w:vAlign w:val="top"/>
          </w:tcPr>
          <w:p>
            <w:r>
              <w:rPr>
                <w:sz w:val="15"/>
              </w:rPr>
              <w:t>Authoritative source statement</w:t>
            </w:r>
          </w:p>
        </w:tc>
        <w:tc>
          <w:tcPr>
            <w:tcW w:type="dxa" w:w="5112"/>
            <w:vAlign w:val="top"/>
          </w:tcPr>
          <w:p>
            <w:r>
              <w:rPr>
                <w:sz w:val="15"/>
              </w:rPr>
              <w:t>Context window segmentation + prompt anchoring + attention boundary enforcement.</w:t>
            </w:r>
          </w:p>
        </w:tc>
      </w:tr>
      <w:tr>
        <w:tc>
          <w:tcPr>
            <w:tcW w:type="dxa" w:w="5112"/>
            <w:vAlign w:val="top"/>
          </w:tcPr>
          <w:p>
            <w:r>
              <w:rPr>
                <w:sz w:val="15"/>
              </w:rPr>
              <w:t>Pharmaceutical interpretation</w:t>
            </w:r>
          </w:p>
        </w:tc>
        <w:tc>
          <w:tcPr>
            <w:tcW w:type="dxa" w:w="5112"/>
            <w:vAlign w:val="top"/>
          </w:tcPr>
          <w:p>
            <w:r>
              <w:rPr>
                <w:sz w:val="15"/>
              </w:rPr>
              <w:t>Prevent and detect hostile or malformed inputs, unsafe runtime behaviour, identity abuse and compromise of deployed pharmaceutical AI services.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PHAR-THR-027, PHAR-THR-029, PHAR-THR-030, PHAR-THR-033, PHAR-THR-035, PHAR-THR-036</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D3-CTL-01 — LEAST AGENCY ENFORCEMENT</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D3: AGENTIC RISK &amp; AUTONOMOUS SYSTEM SECURITY</w:t>
            </w:r>
          </w:p>
        </w:tc>
      </w:tr>
      <w:tr>
        <w:tc>
          <w:tcPr>
            <w:tcW w:type="dxa" w:w="5112"/>
            <w:vAlign w:val="top"/>
          </w:tcPr>
          <w:p>
            <w:r>
              <w:rPr>
                <w:sz w:val="15"/>
              </w:rPr>
              <w:t>Authoritative source statement</w:t>
            </w:r>
          </w:p>
        </w:tc>
        <w:tc>
          <w:tcPr>
            <w:tcW w:type="dxa" w:w="5112"/>
            <w:vAlign w:val="top"/>
          </w:tcPr>
          <w:p>
            <w:r>
              <w:rPr>
                <w:sz w:val="15"/>
              </w:rPr>
              <w:t>Role-based tool scoping + policy-as-code + dynamic permission revocation.</w:t>
            </w:r>
          </w:p>
        </w:tc>
      </w:tr>
      <w:tr>
        <w:tc>
          <w:tcPr>
            <w:tcW w:type="dxa" w:w="5112"/>
            <w:vAlign w:val="top"/>
          </w:tcPr>
          <w:p>
            <w:r>
              <w:rPr>
                <w:sz w:val="15"/>
              </w:rPr>
              <w:t>Pharmaceutical interpretation</w:t>
            </w:r>
          </w:p>
        </w:tc>
        <w:tc>
          <w:tcPr>
            <w:tcW w:type="dxa" w:w="5112"/>
            <w:vAlign w:val="top"/>
          </w:tcPr>
          <w:p>
            <w:r>
              <w:rPr>
                <w:sz w:val="15"/>
              </w:rPr>
              <w:t>Constrain delegation, tools, permissions and autonomous actions in agentic workflows that can affect regulated records, safety, quality or operations.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PHAR-THR-034, PHAR-THR-035, PHAR-THR-036, PHAR-THR-042, PHAR-THR-044, PHAR-THR-047</w:t>
            </w:r>
          </w:p>
        </w:tc>
      </w:tr>
      <w:tr>
        <w:tc>
          <w:tcPr>
            <w:tcW w:type="dxa" w:w="5112"/>
            <w:vAlign w:val="top"/>
          </w:tcPr>
          <w:p>
            <w:r>
              <w:rPr>
                <w:sz w:val="15"/>
              </w:rPr>
              <w:t>Mapped use cases</w:t>
            </w:r>
          </w:p>
        </w:tc>
        <w:tc>
          <w:tcPr>
            <w:tcW w:type="dxa" w:w="5112"/>
            <w:vAlign w:val="top"/>
          </w:tcPr>
          <w:p>
            <w:r>
              <w:rPr>
                <w:sz w:val="15"/>
              </w:rPr>
              <w:t>PHAR-UC-001, PHAR-UC-011, PHAR-UC-021, PHAR-UC-026,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D3-CTL-02 — INTER-AGENT COMMUNICATION SECURITY</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D3: AGENTIC RISK &amp; AUTONOMOUS SYSTEM SECURITY</w:t>
            </w:r>
          </w:p>
        </w:tc>
      </w:tr>
      <w:tr>
        <w:tc>
          <w:tcPr>
            <w:tcW w:type="dxa" w:w="5112"/>
            <w:vAlign w:val="top"/>
          </w:tcPr>
          <w:p>
            <w:r>
              <w:rPr>
                <w:sz w:val="15"/>
              </w:rPr>
              <w:t>Authoritative source statement</w:t>
            </w:r>
          </w:p>
        </w:tc>
        <w:tc>
          <w:tcPr>
            <w:tcW w:type="dxa" w:w="5112"/>
            <w:vAlign w:val="top"/>
          </w:tcPr>
          <w:p>
            <w:r>
              <w:rPr>
                <w:sz w:val="15"/>
              </w:rPr>
              <w:t>mTLS for agent mesh + message signing + payload validation.</w:t>
            </w:r>
          </w:p>
        </w:tc>
      </w:tr>
      <w:tr>
        <w:tc>
          <w:tcPr>
            <w:tcW w:type="dxa" w:w="5112"/>
            <w:vAlign w:val="top"/>
          </w:tcPr>
          <w:p>
            <w:r>
              <w:rPr>
                <w:sz w:val="15"/>
              </w:rPr>
              <w:t>Pharmaceutical interpretation</w:t>
            </w:r>
          </w:p>
        </w:tc>
        <w:tc>
          <w:tcPr>
            <w:tcW w:type="dxa" w:w="5112"/>
            <w:vAlign w:val="top"/>
          </w:tcPr>
          <w:p>
            <w:r>
              <w:rPr>
                <w:sz w:val="15"/>
              </w:rPr>
              <w:t>Constrain delegation, tools, permissions and autonomous actions in agentic workflows that can affect regulated records, safety, quality or operations.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PHAR-THR-034, PHAR-THR-035, PHAR-THR-036, PHAR-THR-042, PHAR-THR-044, PHAR-THR-047</w:t>
            </w:r>
          </w:p>
        </w:tc>
      </w:tr>
      <w:tr>
        <w:tc>
          <w:tcPr>
            <w:tcW w:type="dxa" w:w="5112"/>
            <w:vAlign w:val="top"/>
          </w:tcPr>
          <w:p>
            <w:r>
              <w:rPr>
                <w:sz w:val="15"/>
              </w:rPr>
              <w:t>Mapped use cases</w:t>
            </w:r>
          </w:p>
        </w:tc>
        <w:tc>
          <w:tcPr>
            <w:tcW w:type="dxa" w:w="5112"/>
            <w:vAlign w:val="top"/>
          </w:tcPr>
          <w:p>
            <w:r>
              <w:rPr>
                <w:sz w:val="15"/>
              </w:rPr>
              <w:t>PHAR-UC-001, PHAR-UC-011, PHAR-UC-021, PHAR-UC-026,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D3-CTL-03 — AGENTIC PROMPT CHAINING DETECTION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D3: AGENTIC RISK &amp; AUTONOMOUS SYSTEM SECURITY</w:t>
            </w:r>
          </w:p>
        </w:tc>
      </w:tr>
      <w:tr>
        <w:tc>
          <w:tcPr>
            <w:tcW w:type="dxa" w:w="5112"/>
            <w:vAlign w:val="top"/>
          </w:tcPr>
          <w:p>
            <w:r>
              <w:rPr>
                <w:sz w:val="15"/>
              </w:rPr>
              <w:t>Authoritative source statement</w:t>
            </w:r>
          </w:p>
        </w:tc>
        <w:tc>
          <w:tcPr>
            <w:tcW w:type="dxa" w:w="5112"/>
            <w:vAlign w:val="top"/>
          </w:tcPr>
          <w:p>
            <w:r>
              <w:rPr>
                <w:sz w:val="15"/>
              </w:rPr>
              <w:t>Cross-session behavioural correlation + chain pattern detection + anomaly scoring.</w:t>
            </w:r>
          </w:p>
        </w:tc>
      </w:tr>
      <w:tr>
        <w:tc>
          <w:tcPr>
            <w:tcW w:type="dxa" w:w="5112"/>
            <w:vAlign w:val="top"/>
          </w:tcPr>
          <w:p>
            <w:r>
              <w:rPr>
                <w:sz w:val="15"/>
              </w:rPr>
              <w:t>Pharmaceutical interpretation</w:t>
            </w:r>
          </w:p>
        </w:tc>
        <w:tc>
          <w:tcPr>
            <w:tcW w:type="dxa" w:w="5112"/>
            <w:vAlign w:val="top"/>
          </w:tcPr>
          <w:p>
            <w:r>
              <w:rPr>
                <w:sz w:val="15"/>
              </w:rPr>
              <w:t>Constrain delegation, tools, permissions and autonomous actions in agentic workflows that can affect regulated records, safety, quality or operations.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PHAR-THR-034, PHAR-THR-035, PHAR-THR-036, PHAR-THR-042, PHAR-THR-044, PHAR-THR-047</w:t>
            </w:r>
          </w:p>
        </w:tc>
      </w:tr>
      <w:tr>
        <w:tc>
          <w:tcPr>
            <w:tcW w:type="dxa" w:w="5112"/>
            <w:vAlign w:val="top"/>
          </w:tcPr>
          <w:p>
            <w:r>
              <w:rPr>
                <w:sz w:val="15"/>
              </w:rPr>
              <w:t>Mapped use cases</w:t>
            </w:r>
          </w:p>
        </w:tc>
        <w:tc>
          <w:tcPr>
            <w:tcW w:type="dxa" w:w="5112"/>
            <w:vAlign w:val="top"/>
          </w:tcPr>
          <w:p>
            <w:r>
              <w:rPr>
                <w:sz w:val="15"/>
              </w:rPr>
              <w:t>PHAR-UC-001, PHAR-UC-011, PHAR-UC-021, PHAR-UC-026,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D3-CTL-04 — EMBODIED AI SAFETY CONTROLS</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D3: AGENTIC RISK &amp; AUTONOMOUS SYSTEM SECURITY</w:t>
            </w:r>
          </w:p>
        </w:tc>
      </w:tr>
      <w:tr>
        <w:tc>
          <w:tcPr>
            <w:tcW w:type="dxa" w:w="5112"/>
            <w:vAlign w:val="top"/>
          </w:tcPr>
          <w:p>
            <w:r>
              <w:rPr>
                <w:sz w:val="15"/>
              </w:rPr>
              <w:t>Authoritative source statement</w:t>
            </w:r>
          </w:p>
        </w:tc>
        <w:tc>
          <w:tcPr>
            <w:tcW w:type="dxa" w:w="5112"/>
            <w:vAlign w:val="top"/>
          </w:tcPr>
          <w:p>
            <w:r>
              <w:rPr>
                <w:sz w:val="15"/>
              </w:rPr>
              <w:t>Sensor integrity verification + safety interlocks + fail-safe state enforcement.</w:t>
            </w:r>
          </w:p>
        </w:tc>
      </w:tr>
      <w:tr>
        <w:tc>
          <w:tcPr>
            <w:tcW w:type="dxa" w:w="5112"/>
            <w:vAlign w:val="top"/>
          </w:tcPr>
          <w:p>
            <w:r>
              <w:rPr>
                <w:sz w:val="15"/>
              </w:rPr>
              <w:t>Pharmaceutical interpretation</w:t>
            </w:r>
          </w:p>
        </w:tc>
        <w:tc>
          <w:tcPr>
            <w:tcW w:type="dxa" w:w="5112"/>
            <w:vAlign w:val="top"/>
          </w:tcPr>
          <w:p>
            <w:r>
              <w:rPr>
                <w:sz w:val="15"/>
              </w:rPr>
              <w:t>Constrain delegation, tools, permissions and autonomous actions in agentic workflows that can affect regulated records, safety, quality or operations.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PHAR-THR-034, PHAR-THR-035, PHAR-THR-036, PHAR-THR-042, PHAR-THR-044, PHAR-THR-047</w:t>
            </w:r>
          </w:p>
        </w:tc>
      </w:tr>
      <w:tr>
        <w:tc>
          <w:tcPr>
            <w:tcW w:type="dxa" w:w="5112"/>
            <w:vAlign w:val="top"/>
          </w:tcPr>
          <w:p>
            <w:r>
              <w:rPr>
                <w:sz w:val="15"/>
              </w:rPr>
              <w:t>Mapped use cases</w:t>
            </w:r>
          </w:p>
        </w:tc>
        <w:tc>
          <w:tcPr>
            <w:tcW w:type="dxa" w:w="5112"/>
            <w:vAlign w:val="top"/>
          </w:tcPr>
          <w:p>
            <w:r>
              <w:rPr>
                <w:sz w:val="15"/>
              </w:rPr>
              <w:t>PHAR-UC-001, PHAR-UC-011, PHAR-UC-021, PHAR-UC-026,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D3-CTL-05 — MULTI-AGENT TRUST CHAIN ATTESTATION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D3: AGENTIC RISK &amp; AUTONOMOUS SYSTEM SECURITY</w:t>
            </w:r>
          </w:p>
        </w:tc>
      </w:tr>
      <w:tr>
        <w:tc>
          <w:tcPr>
            <w:tcW w:type="dxa" w:w="5112"/>
            <w:vAlign w:val="top"/>
          </w:tcPr>
          <w:p>
            <w:r>
              <w:rPr>
                <w:sz w:val="15"/>
              </w:rPr>
              <w:t>Authoritative source statement</w:t>
            </w:r>
          </w:p>
        </w:tc>
        <w:tc>
          <w:tcPr>
            <w:tcW w:type="dxa" w:w="5112"/>
            <w:vAlign w:val="top"/>
          </w:tcPr>
          <w:p>
            <w:r>
              <w:rPr>
                <w:sz w:val="15"/>
              </w:rPr>
              <w:t>SPIFFE/SPIRE workload identity + short-lived certificates + continuous attestation.</w:t>
            </w:r>
          </w:p>
        </w:tc>
      </w:tr>
      <w:tr>
        <w:tc>
          <w:tcPr>
            <w:tcW w:type="dxa" w:w="5112"/>
            <w:vAlign w:val="top"/>
          </w:tcPr>
          <w:p>
            <w:r>
              <w:rPr>
                <w:sz w:val="15"/>
              </w:rPr>
              <w:t>Pharmaceutical interpretation</w:t>
            </w:r>
          </w:p>
        </w:tc>
        <w:tc>
          <w:tcPr>
            <w:tcW w:type="dxa" w:w="5112"/>
            <w:vAlign w:val="top"/>
          </w:tcPr>
          <w:p>
            <w:r>
              <w:rPr>
                <w:sz w:val="15"/>
              </w:rPr>
              <w:t>Constrain delegation, tools, permissions and autonomous actions in agentic workflows that can affect regulated records, safety, quality or operations.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PHAR-THR-034, PHAR-THR-035, PHAR-THR-036, PHAR-THR-042, PHAR-THR-044, PHAR-THR-047</w:t>
            </w:r>
          </w:p>
        </w:tc>
      </w:tr>
      <w:tr>
        <w:tc>
          <w:tcPr>
            <w:tcW w:type="dxa" w:w="5112"/>
            <w:vAlign w:val="top"/>
          </w:tcPr>
          <w:p>
            <w:r>
              <w:rPr>
                <w:sz w:val="15"/>
              </w:rPr>
              <w:t>Mapped use cases</w:t>
            </w:r>
          </w:p>
        </w:tc>
        <w:tc>
          <w:tcPr>
            <w:tcW w:type="dxa" w:w="5112"/>
            <w:vAlign w:val="top"/>
          </w:tcPr>
          <w:p>
            <w:r>
              <w:rPr>
                <w:sz w:val="15"/>
              </w:rPr>
              <w:t>PHAR-UC-001, PHAR-UC-011, PHAR-UC-021, PHAR-UC-026,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D3-CTL-06 — PERSISTENT MEMORY EXFILTRATION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D3: AGENTIC RISK &amp; AUTONOMOUS SYSTEM SECURITY</w:t>
            </w:r>
          </w:p>
        </w:tc>
      </w:tr>
      <w:tr>
        <w:tc>
          <w:tcPr>
            <w:tcW w:type="dxa" w:w="5112"/>
            <w:vAlign w:val="top"/>
          </w:tcPr>
          <w:p>
            <w:r>
              <w:rPr>
                <w:sz w:val="15"/>
              </w:rPr>
              <w:t>Authoritative source statement</w:t>
            </w:r>
          </w:p>
        </w:tc>
        <w:tc>
          <w:tcPr>
            <w:tcW w:type="dxa" w:w="5112"/>
            <w:vAlign w:val="top"/>
          </w:tcPr>
          <w:p>
            <w:r>
              <w:rPr>
                <w:sz w:val="15"/>
              </w:rPr>
              <w:t>User-scoped memory isolation + encryption at rest + query-level access controls.</w:t>
            </w:r>
          </w:p>
        </w:tc>
      </w:tr>
      <w:tr>
        <w:tc>
          <w:tcPr>
            <w:tcW w:type="dxa" w:w="5112"/>
            <w:vAlign w:val="top"/>
          </w:tcPr>
          <w:p>
            <w:r>
              <w:rPr>
                <w:sz w:val="15"/>
              </w:rPr>
              <w:t>Pharmaceutical interpretation</w:t>
            </w:r>
          </w:p>
        </w:tc>
        <w:tc>
          <w:tcPr>
            <w:tcW w:type="dxa" w:w="5112"/>
            <w:vAlign w:val="top"/>
          </w:tcPr>
          <w:p>
            <w:r>
              <w:rPr>
                <w:sz w:val="15"/>
              </w:rPr>
              <w:t>Constrain delegation, tools, permissions and autonomous actions in agentic workflows that can affect regulated records, safety, quality or operations.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PHAR-THR-034, PHAR-THR-035, PHAR-THR-036, PHAR-THR-042, PHAR-THR-044, PHAR-THR-047</w:t>
            </w:r>
          </w:p>
        </w:tc>
      </w:tr>
      <w:tr>
        <w:tc>
          <w:tcPr>
            <w:tcW w:type="dxa" w:w="5112"/>
            <w:vAlign w:val="top"/>
          </w:tcPr>
          <w:p>
            <w:r>
              <w:rPr>
                <w:sz w:val="15"/>
              </w:rPr>
              <w:t>Mapped use cases</w:t>
            </w:r>
          </w:p>
        </w:tc>
        <w:tc>
          <w:tcPr>
            <w:tcW w:type="dxa" w:w="5112"/>
            <w:vAlign w:val="top"/>
          </w:tcPr>
          <w:p>
            <w:r>
              <w:rPr>
                <w:sz w:val="15"/>
              </w:rPr>
              <w:t>PHAR-UC-001, PHAR-UC-011, PHAR-UC-021, PHAR-UC-026,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D3-CTL-07 — SECURE MEMORY LIFECYCLE MANAGEMENT</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D3: AGENTIC RISK &amp; AUTONOMOUS SYSTEM SECURITY</w:t>
            </w:r>
          </w:p>
        </w:tc>
      </w:tr>
      <w:tr>
        <w:tc>
          <w:tcPr>
            <w:tcW w:type="dxa" w:w="5112"/>
            <w:vAlign w:val="top"/>
          </w:tcPr>
          <w:p>
            <w:r>
              <w:rPr>
                <w:sz w:val="15"/>
              </w:rPr>
              <w:t>Authoritative source statement</w:t>
            </w:r>
          </w:p>
        </w:tc>
        <w:tc>
          <w:tcPr>
            <w:tcW w:type="dxa" w:w="5112"/>
            <w:vAlign w:val="top"/>
          </w:tcPr>
          <w:p>
            <w:r>
              <w:rPr>
                <w:sz w:val="15"/>
              </w:rPr>
              <w:t>Cryptographic deletion + lifecycle policy enforcement + retention auditing.</w:t>
            </w:r>
          </w:p>
        </w:tc>
      </w:tr>
      <w:tr>
        <w:tc>
          <w:tcPr>
            <w:tcW w:type="dxa" w:w="5112"/>
            <w:vAlign w:val="top"/>
          </w:tcPr>
          <w:p>
            <w:r>
              <w:rPr>
                <w:sz w:val="15"/>
              </w:rPr>
              <w:t>Pharmaceutical interpretation</w:t>
            </w:r>
          </w:p>
        </w:tc>
        <w:tc>
          <w:tcPr>
            <w:tcW w:type="dxa" w:w="5112"/>
            <w:vAlign w:val="top"/>
          </w:tcPr>
          <w:p>
            <w:r>
              <w:rPr>
                <w:sz w:val="15"/>
              </w:rPr>
              <w:t>Constrain delegation, tools, permissions and autonomous actions in agentic workflows that can affect regulated records, safety, quality or operations.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PHAR-THR-034, PHAR-THR-035, PHAR-THR-036, PHAR-THR-042, PHAR-THR-044, PHAR-THR-047</w:t>
            </w:r>
          </w:p>
        </w:tc>
      </w:tr>
      <w:tr>
        <w:tc>
          <w:tcPr>
            <w:tcW w:type="dxa" w:w="5112"/>
            <w:vAlign w:val="top"/>
          </w:tcPr>
          <w:p>
            <w:r>
              <w:rPr>
                <w:sz w:val="15"/>
              </w:rPr>
              <w:t>Mapped use cases</w:t>
            </w:r>
          </w:p>
        </w:tc>
        <w:tc>
          <w:tcPr>
            <w:tcW w:type="dxa" w:w="5112"/>
            <w:vAlign w:val="top"/>
          </w:tcPr>
          <w:p>
            <w:r>
              <w:rPr>
                <w:sz w:val="15"/>
              </w:rPr>
              <w:t>PHAR-UC-001, PHAR-UC-011, PHAR-UC-021, PHAR-UC-026,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D4-CTL-01 — AI BILL OF MATERIALS (AI BOM) MAINTENANCE</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D4: SUPPLY CHAIN &amp; THIRD-PARTY AI SECURITY</w:t>
            </w:r>
          </w:p>
        </w:tc>
      </w:tr>
      <w:tr>
        <w:tc>
          <w:tcPr>
            <w:tcW w:type="dxa" w:w="5112"/>
            <w:vAlign w:val="top"/>
          </w:tcPr>
          <w:p>
            <w:r>
              <w:rPr>
                <w:sz w:val="15"/>
              </w:rPr>
              <w:t>Authoritative source statement</w:t>
            </w:r>
          </w:p>
        </w:tc>
        <w:tc>
          <w:tcPr>
            <w:tcW w:type="dxa" w:w="5112"/>
            <w:vAlign w:val="top"/>
          </w:tcPr>
          <w:p>
            <w:r>
              <w:rPr>
                <w:sz w:val="15"/>
              </w:rPr>
              <w:t>Automated BOM generation + version tracking + registry synchronization.</w:t>
            </w:r>
          </w:p>
        </w:tc>
      </w:tr>
      <w:tr>
        <w:tc>
          <w:tcPr>
            <w:tcW w:type="dxa" w:w="5112"/>
            <w:vAlign w:val="top"/>
          </w:tcPr>
          <w:p>
            <w:r>
              <w:rPr>
                <w:sz w:val="15"/>
              </w:rPr>
              <w:t>Pharmaceutical interpretation</w:t>
            </w:r>
          </w:p>
        </w:tc>
        <w:tc>
          <w:tcPr>
            <w:tcW w:type="dxa" w:w="5112"/>
            <w:vAlign w:val="top"/>
          </w:tcPr>
          <w:p>
            <w:r>
              <w:rPr>
                <w:sz w:val="15"/>
              </w:rPr>
              <w:t>Govern model, data, cloud, CRO/CMO, laboratory, platform and foundation-model suppliers across acquisition, change and exit.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PHAR-THR-030, PHAR-THR-031, PHAR-THR-037, PHAR-THR-048, PHAR-THR-049, PHAR-THR-050</w:t>
            </w:r>
          </w:p>
        </w:tc>
      </w:tr>
      <w:tr>
        <w:tc>
          <w:tcPr>
            <w:tcW w:type="dxa" w:w="5112"/>
            <w:vAlign w:val="top"/>
          </w:tcPr>
          <w:p>
            <w:r>
              <w:rPr>
                <w:sz w:val="15"/>
              </w:rPr>
              <w:t>Mapped use cases</w:t>
            </w:r>
          </w:p>
        </w:tc>
        <w:tc>
          <w:tcPr>
            <w:tcW w:type="dxa" w:w="5112"/>
            <w:vAlign w:val="top"/>
          </w:tcPr>
          <w:p>
            <w:r>
              <w:rPr>
                <w:sz w:val="15"/>
              </w:rPr>
              <w:t>PHAR-UC-040, PHAR-UC-006, PHAR-UC-020, PHAR-UC-029</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D4-CTL-02 — MODEL FILE &amp; ARTIFACT SCANNING</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D4: SUPPLY CHAIN &amp; THIRD-PARTY AI SECURITY</w:t>
            </w:r>
          </w:p>
        </w:tc>
      </w:tr>
      <w:tr>
        <w:tc>
          <w:tcPr>
            <w:tcW w:type="dxa" w:w="5112"/>
            <w:vAlign w:val="top"/>
          </w:tcPr>
          <w:p>
            <w:r>
              <w:rPr>
                <w:sz w:val="15"/>
              </w:rPr>
              <w:t>Authoritative source statement</w:t>
            </w:r>
          </w:p>
        </w:tc>
        <w:tc>
          <w:tcPr>
            <w:tcW w:type="dxa" w:w="5112"/>
            <w:vAlign w:val="top"/>
          </w:tcPr>
          <w:p>
            <w:r>
              <w:rPr>
                <w:sz w:val="15"/>
              </w:rPr>
              <w:t>Static analysis + deserialization sandboxing + signature verification.</w:t>
            </w:r>
          </w:p>
        </w:tc>
      </w:tr>
      <w:tr>
        <w:tc>
          <w:tcPr>
            <w:tcW w:type="dxa" w:w="5112"/>
            <w:vAlign w:val="top"/>
          </w:tcPr>
          <w:p>
            <w:r>
              <w:rPr>
                <w:sz w:val="15"/>
              </w:rPr>
              <w:t>Pharmaceutical interpretation</w:t>
            </w:r>
          </w:p>
        </w:tc>
        <w:tc>
          <w:tcPr>
            <w:tcW w:type="dxa" w:w="5112"/>
            <w:vAlign w:val="top"/>
          </w:tcPr>
          <w:p>
            <w:r>
              <w:rPr>
                <w:sz w:val="15"/>
              </w:rPr>
              <w:t>Govern model, data, cloud, CRO/CMO, laboratory, platform and foundation-model suppliers across acquisition, change and exit.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PHAR-THR-030, PHAR-THR-031, PHAR-THR-037, PHAR-THR-048, PHAR-THR-049, PHAR-THR-050</w:t>
            </w:r>
          </w:p>
        </w:tc>
      </w:tr>
      <w:tr>
        <w:tc>
          <w:tcPr>
            <w:tcW w:type="dxa" w:w="5112"/>
            <w:vAlign w:val="top"/>
          </w:tcPr>
          <w:p>
            <w:r>
              <w:rPr>
                <w:sz w:val="15"/>
              </w:rPr>
              <w:t>Mapped use cases</w:t>
            </w:r>
          </w:p>
        </w:tc>
        <w:tc>
          <w:tcPr>
            <w:tcW w:type="dxa" w:w="5112"/>
            <w:vAlign w:val="top"/>
          </w:tcPr>
          <w:p>
            <w:r>
              <w:rPr>
                <w:sz w:val="15"/>
              </w:rPr>
              <w:t>PHAR-UC-040, PHAR-UC-006, PHAR-UC-020, PHAR-UC-029</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D4-CTL-03 — MODEL HUB &amp; REGISTRY VETTING</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D4: SUPPLY CHAIN &amp; THIRD-PARTY AI SECURITY</w:t>
            </w:r>
          </w:p>
        </w:tc>
      </w:tr>
      <w:tr>
        <w:tc>
          <w:tcPr>
            <w:tcW w:type="dxa" w:w="5112"/>
            <w:vAlign w:val="top"/>
          </w:tcPr>
          <w:p>
            <w:r>
              <w:rPr>
                <w:sz w:val="15"/>
              </w:rPr>
              <w:t>Authoritative source statement</w:t>
            </w:r>
          </w:p>
        </w:tc>
        <w:tc>
          <w:tcPr>
            <w:tcW w:type="dxa" w:w="5112"/>
            <w:vAlign w:val="top"/>
          </w:tcPr>
          <w:p>
            <w:r>
              <w:rPr>
                <w:sz w:val="15"/>
              </w:rPr>
              <w:t>Provenance verification + license compliance + security scorecard.</w:t>
            </w:r>
          </w:p>
        </w:tc>
      </w:tr>
      <w:tr>
        <w:tc>
          <w:tcPr>
            <w:tcW w:type="dxa" w:w="5112"/>
            <w:vAlign w:val="top"/>
          </w:tcPr>
          <w:p>
            <w:r>
              <w:rPr>
                <w:sz w:val="15"/>
              </w:rPr>
              <w:t>Pharmaceutical interpretation</w:t>
            </w:r>
          </w:p>
        </w:tc>
        <w:tc>
          <w:tcPr>
            <w:tcW w:type="dxa" w:w="5112"/>
            <w:vAlign w:val="top"/>
          </w:tcPr>
          <w:p>
            <w:r>
              <w:rPr>
                <w:sz w:val="15"/>
              </w:rPr>
              <w:t>Govern model, data, cloud, CRO/CMO, laboratory, platform and foundation-model suppliers across acquisition, change and exit.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PHAR-THR-030, PHAR-THR-031, PHAR-THR-037, PHAR-THR-048, PHAR-THR-049, PHAR-THR-050</w:t>
            </w:r>
          </w:p>
        </w:tc>
      </w:tr>
      <w:tr>
        <w:tc>
          <w:tcPr>
            <w:tcW w:type="dxa" w:w="5112"/>
            <w:vAlign w:val="top"/>
          </w:tcPr>
          <w:p>
            <w:r>
              <w:rPr>
                <w:sz w:val="15"/>
              </w:rPr>
              <w:t>Mapped use cases</w:t>
            </w:r>
          </w:p>
        </w:tc>
        <w:tc>
          <w:tcPr>
            <w:tcW w:type="dxa" w:w="5112"/>
            <w:vAlign w:val="top"/>
          </w:tcPr>
          <w:p>
            <w:r>
              <w:rPr>
                <w:sz w:val="15"/>
              </w:rPr>
              <w:t>PHAR-UC-040, PHAR-UC-006, PHAR-UC-020, PHAR-UC-029</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D4-CTL-04 — MCP SERVER BEHAVIORAL MONITORING</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D4: SUPPLY CHAIN &amp; THIRD-PARTY AI SECURITY</w:t>
            </w:r>
          </w:p>
        </w:tc>
      </w:tr>
      <w:tr>
        <w:tc>
          <w:tcPr>
            <w:tcW w:type="dxa" w:w="5112"/>
            <w:vAlign w:val="top"/>
          </w:tcPr>
          <w:p>
            <w:r>
              <w:rPr>
                <w:sz w:val="15"/>
              </w:rPr>
              <w:t>Authoritative source statement</w:t>
            </w:r>
          </w:p>
        </w:tc>
        <w:tc>
          <w:tcPr>
            <w:tcW w:type="dxa" w:w="5112"/>
            <w:vAlign w:val="top"/>
          </w:tcPr>
          <w:p>
            <w:r>
              <w:rPr>
                <w:sz w:val="15"/>
              </w:rPr>
              <w:t>Tool-call logging + anomaly detection + access control enforcement.</w:t>
            </w:r>
          </w:p>
        </w:tc>
      </w:tr>
      <w:tr>
        <w:tc>
          <w:tcPr>
            <w:tcW w:type="dxa" w:w="5112"/>
            <w:vAlign w:val="top"/>
          </w:tcPr>
          <w:p>
            <w:r>
              <w:rPr>
                <w:sz w:val="15"/>
              </w:rPr>
              <w:t>Pharmaceutical interpretation</w:t>
            </w:r>
          </w:p>
        </w:tc>
        <w:tc>
          <w:tcPr>
            <w:tcW w:type="dxa" w:w="5112"/>
            <w:vAlign w:val="top"/>
          </w:tcPr>
          <w:p>
            <w:r>
              <w:rPr>
                <w:sz w:val="15"/>
              </w:rPr>
              <w:t>Govern model, data, cloud, CRO/CMO, laboratory, platform and foundation-model suppliers across acquisition, change and exit.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PHAR-THR-030, PHAR-THR-031, PHAR-THR-037, PHAR-THR-048, PHAR-THR-049, PHAR-THR-050</w:t>
            </w:r>
          </w:p>
        </w:tc>
      </w:tr>
      <w:tr>
        <w:tc>
          <w:tcPr>
            <w:tcW w:type="dxa" w:w="5112"/>
            <w:vAlign w:val="top"/>
          </w:tcPr>
          <w:p>
            <w:r>
              <w:rPr>
                <w:sz w:val="15"/>
              </w:rPr>
              <w:t>Mapped use cases</w:t>
            </w:r>
          </w:p>
        </w:tc>
        <w:tc>
          <w:tcPr>
            <w:tcW w:type="dxa" w:w="5112"/>
            <w:vAlign w:val="top"/>
          </w:tcPr>
          <w:p>
            <w:r>
              <w:rPr>
                <w:sz w:val="15"/>
              </w:rPr>
              <w:t>PHAR-UC-040, PHAR-UC-006, PHAR-UC-020, PHAR-UC-029</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D4-CTL-05 — THIRD-PARTY AI API SECURITY ASSESSMENT</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D4: SUPPLY CHAIN &amp; THIRD-PARTY AI SECURITY</w:t>
            </w:r>
          </w:p>
        </w:tc>
      </w:tr>
      <w:tr>
        <w:tc>
          <w:tcPr>
            <w:tcW w:type="dxa" w:w="5112"/>
            <w:vAlign w:val="top"/>
          </w:tcPr>
          <w:p>
            <w:r>
              <w:rPr>
                <w:sz w:val="15"/>
              </w:rPr>
              <w:t>Authoritative source statement</w:t>
            </w:r>
          </w:p>
        </w:tc>
        <w:tc>
          <w:tcPr>
            <w:tcW w:type="dxa" w:w="5112"/>
            <w:vAlign w:val="top"/>
          </w:tcPr>
          <w:p>
            <w:r>
              <w:rPr>
                <w:sz w:val="15"/>
              </w:rPr>
              <w:t>Contractual security requirements + penetration testing + data flow mapping.</w:t>
            </w:r>
          </w:p>
        </w:tc>
      </w:tr>
      <w:tr>
        <w:tc>
          <w:tcPr>
            <w:tcW w:type="dxa" w:w="5112"/>
            <w:vAlign w:val="top"/>
          </w:tcPr>
          <w:p>
            <w:r>
              <w:rPr>
                <w:sz w:val="15"/>
              </w:rPr>
              <w:t>Pharmaceutical interpretation</w:t>
            </w:r>
          </w:p>
        </w:tc>
        <w:tc>
          <w:tcPr>
            <w:tcW w:type="dxa" w:w="5112"/>
            <w:vAlign w:val="top"/>
          </w:tcPr>
          <w:p>
            <w:r>
              <w:rPr>
                <w:sz w:val="15"/>
              </w:rPr>
              <w:t>Govern model, data, cloud, CRO/CMO, laboratory, platform and foundation-model suppliers across acquisition, change and exit.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PHAR-THR-030, PHAR-THR-031, PHAR-THR-037, PHAR-THR-048, PHAR-THR-049, PHAR-THR-050</w:t>
            </w:r>
          </w:p>
        </w:tc>
      </w:tr>
      <w:tr>
        <w:tc>
          <w:tcPr>
            <w:tcW w:type="dxa" w:w="5112"/>
            <w:vAlign w:val="top"/>
          </w:tcPr>
          <w:p>
            <w:r>
              <w:rPr>
                <w:sz w:val="15"/>
              </w:rPr>
              <w:t>Mapped use cases</w:t>
            </w:r>
          </w:p>
        </w:tc>
        <w:tc>
          <w:tcPr>
            <w:tcW w:type="dxa" w:w="5112"/>
            <w:vAlign w:val="top"/>
          </w:tcPr>
          <w:p>
            <w:r>
              <w:rPr>
                <w:sz w:val="15"/>
              </w:rPr>
              <w:t>PHAR-UC-040, PHAR-UC-006, PHAR-UC-020, PHAR-UC-029</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D4-CTL-06 — SHADOW AI DISCOVERY &amp; GOVERNANCE</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D4: SUPPLY CHAIN &amp; THIRD-PARTY AI SECURITY</w:t>
            </w:r>
          </w:p>
        </w:tc>
      </w:tr>
      <w:tr>
        <w:tc>
          <w:tcPr>
            <w:tcW w:type="dxa" w:w="5112"/>
            <w:vAlign w:val="top"/>
          </w:tcPr>
          <w:p>
            <w:r>
              <w:rPr>
                <w:sz w:val="15"/>
              </w:rPr>
              <w:t>Authoritative source statement</w:t>
            </w:r>
          </w:p>
        </w:tc>
        <w:tc>
          <w:tcPr>
            <w:tcW w:type="dxa" w:w="5112"/>
            <w:vAlign w:val="top"/>
          </w:tcPr>
          <w:p>
            <w:r>
              <w:rPr>
                <w:sz w:val="15"/>
              </w:rPr>
              <w:t>Network traffic analysis + SaaS discovery + policy enforcement.</w:t>
            </w:r>
          </w:p>
        </w:tc>
      </w:tr>
      <w:tr>
        <w:tc>
          <w:tcPr>
            <w:tcW w:type="dxa" w:w="5112"/>
            <w:vAlign w:val="top"/>
          </w:tcPr>
          <w:p>
            <w:r>
              <w:rPr>
                <w:sz w:val="15"/>
              </w:rPr>
              <w:t>Pharmaceutical interpretation</w:t>
            </w:r>
          </w:p>
        </w:tc>
        <w:tc>
          <w:tcPr>
            <w:tcW w:type="dxa" w:w="5112"/>
            <w:vAlign w:val="top"/>
          </w:tcPr>
          <w:p>
            <w:r>
              <w:rPr>
                <w:sz w:val="15"/>
              </w:rPr>
              <w:t>Govern model, data, cloud, CRO/CMO, laboratory, platform and foundation-model suppliers across acquisition, change and exit.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PHAR-THR-030, PHAR-THR-031, PHAR-THR-037, PHAR-THR-048, PHAR-THR-049, PHAR-THR-050</w:t>
            </w:r>
          </w:p>
        </w:tc>
      </w:tr>
      <w:tr>
        <w:tc>
          <w:tcPr>
            <w:tcW w:type="dxa" w:w="5112"/>
            <w:vAlign w:val="top"/>
          </w:tcPr>
          <w:p>
            <w:r>
              <w:rPr>
                <w:sz w:val="15"/>
              </w:rPr>
              <w:t>Mapped use cases</w:t>
            </w:r>
          </w:p>
        </w:tc>
        <w:tc>
          <w:tcPr>
            <w:tcW w:type="dxa" w:w="5112"/>
            <w:vAlign w:val="top"/>
          </w:tcPr>
          <w:p>
            <w:r>
              <w:rPr>
                <w:sz w:val="15"/>
              </w:rPr>
              <w:t>PHAR-UC-040, PHAR-UC-006, PHAR-UC-020, PHAR-UC-029</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D4-CTL-07 — AI SOFTWARE COMPOSITION ANALYSIS (SCA)</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D4: SUPPLY CHAIN &amp; THIRD-PARTY AI SECURITY</w:t>
            </w:r>
          </w:p>
        </w:tc>
      </w:tr>
      <w:tr>
        <w:tc>
          <w:tcPr>
            <w:tcW w:type="dxa" w:w="5112"/>
            <w:vAlign w:val="top"/>
          </w:tcPr>
          <w:p>
            <w:r>
              <w:rPr>
                <w:sz w:val="15"/>
              </w:rPr>
              <w:t>Authoritative source statement</w:t>
            </w:r>
          </w:p>
        </w:tc>
        <w:tc>
          <w:tcPr>
            <w:tcW w:type="dxa" w:w="5112"/>
            <w:vAlign w:val="top"/>
          </w:tcPr>
          <w:p>
            <w:r>
              <w:rPr>
                <w:sz w:val="15"/>
              </w:rPr>
              <w:t>Dependency scanning + CVE matching + automated patching.</w:t>
            </w:r>
          </w:p>
        </w:tc>
      </w:tr>
      <w:tr>
        <w:tc>
          <w:tcPr>
            <w:tcW w:type="dxa" w:w="5112"/>
            <w:vAlign w:val="top"/>
          </w:tcPr>
          <w:p>
            <w:r>
              <w:rPr>
                <w:sz w:val="15"/>
              </w:rPr>
              <w:t>Pharmaceutical interpretation</w:t>
            </w:r>
          </w:p>
        </w:tc>
        <w:tc>
          <w:tcPr>
            <w:tcW w:type="dxa" w:w="5112"/>
            <w:vAlign w:val="top"/>
          </w:tcPr>
          <w:p>
            <w:r>
              <w:rPr>
                <w:sz w:val="15"/>
              </w:rPr>
              <w:t>Govern model, data, cloud, CRO/CMO, laboratory, platform and foundation-model suppliers across acquisition, change and exit.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PHAR-THR-030, PHAR-THR-031, PHAR-THR-037, PHAR-THR-048, PHAR-THR-049, PHAR-THR-050</w:t>
            </w:r>
          </w:p>
        </w:tc>
      </w:tr>
      <w:tr>
        <w:tc>
          <w:tcPr>
            <w:tcW w:type="dxa" w:w="5112"/>
            <w:vAlign w:val="top"/>
          </w:tcPr>
          <w:p>
            <w:r>
              <w:rPr>
                <w:sz w:val="15"/>
              </w:rPr>
              <w:t>Mapped use cases</w:t>
            </w:r>
          </w:p>
        </w:tc>
        <w:tc>
          <w:tcPr>
            <w:tcW w:type="dxa" w:w="5112"/>
            <w:vAlign w:val="top"/>
          </w:tcPr>
          <w:p>
            <w:r>
              <w:rPr>
                <w:sz w:val="15"/>
              </w:rPr>
              <w:t>PHAR-UC-040, PHAR-UC-006, PHAR-UC-020, PHAR-UC-029</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D5-CTL-01 — HARMFUL CONTENT BLOCKING</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D5: CONTENT SAFETY &amp; OUTPUT INTEGRITY</w:t>
            </w:r>
          </w:p>
        </w:tc>
      </w:tr>
      <w:tr>
        <w:tc>
          <w:tcPr>
            <w:tcW w:type="dxa" w:w="5112"/>
            <w:vAlign w:val="top"/>
          </w:tcPr>
          <w:p>
            <w:r>
              <w:rPr>
                <w:sz w:val="15"/>
              </w:rPr>
              <w:t>Authoritative source statement</w:t>
            </w:r>
          </w:p>
        </w:tc>
        <w:tc>
          <w:tcPr>
            <w:tcW w:type="dxa" w:w="5112"/>
            <w:vAlign w:val="top"/>
          </w:tcPr>
          <w:p>
            <w:r>
              <w:rPr>
                <w:sz w:val="15"/>
              </w:rPr>
              <w:t>Content safety classifier + refusal engine.</w:t>
            </w:r>
          </w:p>
        </w:tc>
      </w:tr>
      <w:tr>
        <w:tc>
          <w:tcPr>
            <w:tcW w:type="dxa" w:w="5112"/>
            <w:vAlign w:val="top"/>
          </w:tcPr>
          <w:p>
            <w:r>
              <w:rPr>
                <w:sz w:val="15"/>
              </w:rPr>
              <w:t>Pharmaceutical interpretation</w:t>
            </w:r>
          </w:p>
        </w:tc>
        <w:tc>
          <w:tcPr>
            <w:tcW w:type="dxa" w:w="5112"/>
            <w:vAlign w:val="top"/>
          </w:tcPr>
          <w:p>
            <w:r>
              <w:rPr>
                <w:sz w:val="15"/>
              </w:rPr>
              <w:t>Maintain accuracy, grounding, source traceability, controlled-language boundaries and review of generated or classified content.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PHAR-THR-007, PHAR-THR-008, PHAR-THR-009, PHAR-THR-010, PHAR-THR-011, PHAR-THR-013</w:t>
            </w:r>
          </w:p>
        </w:tc>
      </w:tr>
      <w:tr>
        <w:tc>
          <w:tcPr>
            <w:tcW w:type="dxa" w:w="5112"/>
            <w:vAlign w:val="top"/>
          </w:tcPr>
          <w:p>
            <w:r>
              <w:rPr>
                <w:sz w:val="15"/>
              </w:rPr>
              <w:t>Mapped use cases</w:t>
            </w:r>
          </w:p>
        </w:tc>
        <w:tc>
          <w:tcPr>
            <w:tcW w:type="dxa" w:w="5112"/>
            <w:vAlign w:val="top"/>
          </w:tcPr>
          <w:p>
            <w:r>
              <w:rPr>
                <w:sz w:val="15"/>
              </w:rPr>
              <w:t>PHAR-UC-001, PHAR-UC-002, PHAR-UC-009, PHAR-UC-013, PHAR-UC-033</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D5-CTL-02 — PII LEAKAGE PREVENTION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D5: CONTENT SAFETY &amp; OUTPUT INTEGRITY</w:t>
            </w:r>
          </w:p>
        </w:tc>
      </w:tr>
      <w:tr>
        <w:tc>
          <w:tcPr>
            <w:tcW w:type="dxa" w:w="5112"/>
            <w:vAlign w:val="top"/>
          </w:tcPr>
          <w:p>
            <w:r>
              <w:rPr>
                <w:sz w:val="15"/>
              </w:rPr>
              <w:t>Authoritative source statement</w:t>
            </w:r>
          </w:p>
        </w:tc>
        <w:tc>
          <w:tcPr>
            <w:tcW w:type="dxa" w:w="5112"/>
            <w:vAlign w:val="top"/>
          </w:tcPr>
          <w:p>
            <w:r>
              <w:rPr>
                <w:sz w:val="15"/>
              </w:rPr>
              <w:t>PII detection + masking + access controls.</w:t>
            </w:r>
          </w:p>
        </w:tc>
      </w:tr>
      <w:tr>
        <w:tc>
          <w:tcPr>
            <w:tcW w:type="dxa" w:w="5112"/>
            <w:vAlign w:val="top"/>
          </w:tcPr>
          <w:p>
            <w:r>
              <w:rPr>
                <w:sz w:val="15"/>
              </w:rPr>
              <w:t>Pharmaceutical interpretation</w:t>
            </w:r>
          </w:p>
        </w:tc>
        <w:tc>
          <w:tcPr>
            <w:tcW w:type="dxa" w:w="5112"/>
            <w:vAlign w:val="top"/>
          </w:tcPr>
          <w:p>
            <w:r>
              <w:rPr>
                <w:sz w:val="15"/>
              </w:rPr>
              <w:t>Maintain accuracy, grounding, source traceability, controlled-language boundaries and review of generated or classified content.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PHAR-THR-007, PHAR-THR-008, PHAR-THR-009, PHAR-THR-010, PHAR-THR-011, PHAR-THR-013</w:t>
            </w:r>
          </w:p>
        </w:tc>
      </w:tr>
      <w:tr>
        <w:tc>
          <w:tcPr>
            <w:tcW w:type="dxa" w:w="5112"/>
            <w:vAlign w:val="top"/>
          </w:tcPr>
          <w:p>
            <w:r>
              <w:rPr>
                <w:sz w:val="15"/>
              </w:rPr>
              <w:t>Mapped use cases</w:t>
            </w:r>
          </w:p>
        </w:tc>
        <w:tc>
          <w:tcPr>
            <w:tcW w:type="dxa" w:w="5112"/>
            <w:vAlign w:val="top"/>
          </w:tcPr>
          <w:p>
            <w:r>
              <w:rPr>
                <w:sz w:val="15"/>
              </w:rPr>
              <w:t>PHAR-UC-001, PHAR-UC-002, PHAR-UC-009, PHAR-UC-013, PHAR-UC-033</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D5-CTL-03 — COPYRIGHT DETECTION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D5: CONTENT SAFETY &amp; OUTPUT INTEGRITY</w:t>
            </w:r>
          </w:p>
        </w:tc>
      </w:tr>
      <w:tr>
        <w:tc>
          <w:tcPr>
            <w:tcW w:type="dxa" w:w="5112"/>
            <w:vAlign w:val="top"/>
          </w:tcPr>
          <w:p>
            <w:r>
              <w:rPr>
                <w:sz w:val="15"/>
              </w:rPr>
              <w:t>Authoritative source statement</w:t>
            </w:r>
          </w:p>
        </w:tc>
        <w:tc>
          <w:tcPr>
            <w:tcW w:type="dxa" w:w="5112"/>
            <w:vAlign w:val="top"/>
          </w:tcPr>
          <w:p>
            <w:r>
              <w:rPr>
                <w:sz w:val="15"/>
              </w:rPr>
              <w:t>n-gram overlap detection + refusal.</w:t>
            </w:r>
          </w:p>
        </w:tc>
      </w:tr>
      <w:tr>
        <w:tc>
          <w:tcPr>
            <w:tcW w:type="dxa" w:w="5112"/>
            <w:vAlign w:val="top"/>
          </w:tcPr>
          <w:p>
            <w:r>
              <w:rPr>
                <w:sz w:val="15"/>
              </w:rPr>
              <w:t>Pharmaceutical interpretation</w:t>
            </w:r>
          </w:p>
        </w:tc>
        <w:tc>
          <w:tcPr>
            <w:tcW w:type="dxa" w:w="5112"/>
            <w:vAlign w:val="top"/>
          </w:tcPr>
          <w:p>
            <w:r>
              <w:rPr>
                <w:sz w:val="15"/>
              </w:rPr>
              <w:t>Maintain accuracy, grounding, source traceability, controlled-language boundaries and review of generated or classified content.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PHAR-THR-007, PHAR-THR-008, PHAR-THR-009, PHAR-THR-010, PHAR-THR-011, PHAR-THR-013</w:t>
            </w:r>
          </w:p>
        </w:tc>
      </w:tr>
      <w:tr>
        <w:tc>
          <w:tcPr>
            <w:tcW w:type="dxa" w:w="5112"/>
            <w:vAlign w:val="top"/>
          </w:tcPr>
          <w:p>
            <w:r>
              <w:rPr>
                <w:sz w:val="15"/>
              </w:rPr>
              <w:t>Mapped use cases</w:t>
            </w:r>
          </w:p>
        </w:tc>
        <w:tc>
          <w:tcPr>
            <w:tcW w:type="dxa" w:w="5112"/>
            <w:vAlign w:val="top"/>
          </w:tcPr>
          <w:p>
            <w:r>
              <w:rPr>
                <w:sz w:val="15"/>
              </w:rPr>
              <w:t>PHAR-UC-001, PHAR-UC-002, PHAR-UC-009, PHAR-UC-013, PHAR-UC-033</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D5-CTL-04 — AI WATERMARKING ROBUSTNESS</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D5: CONTENT SAFETY &amp; OUTPUT INTEGRITY</w:t>
            </w:r>
          </w:p>
        </w:tc>
      </w:tr>
      <w:tr>
        <w:tc>
          <w:tcPr>
            <w:tcW w:type="dxa" w:w="5112"/>
            <w:vAlign w:val="top"/>
          </w:tcPr>
          <w:p>
            <w:r>
              <w:rPr>
                <w:sz w:val="15"/>
              </w:rPr>
              <w:t>Authoritative source statement</w:t>
            </w:r>
          </w:p>
        </w:tc>
        <w:tc>
          <w:tcPr>
            <w:tcW w:type="dxa" w:w="5112"/>
            <w:vAlign w:val="top"/>
          </w:tcPr>
          <w:p>
            <w:r>
              <w:rPr>
                <w:sz w:val="15"/>
              </w:rPr>
              <w:t>C2PA-compliant watermarking + tamper resistance testing.</w:t>
            </w:r>
          </w:p>
        </w:tc>
      </w:tr>
      <w:tr>
        <w:tc>
          <w:tcPr>
            <w:tcW w:type="dxa" w:w="5112"/>
            <w:vAlign w:val="top"/>
          </w:tcPr>
          <w:p>
            <w:r>
              <w:rPr>
                <w:sz w:val="15"/>
              </w:rPr>
              <w:t>Pharmaceutical interpretation</w:t>
            </w:r>
          </w:p>
        </w:tc>
        <w:tc>
          <w:tcPr>
            <w:tcW w:type="dxa" w:w="5112"/>
            <w:vAlign w:val="top"/>
          </w:tcPr>
          <w:p>
            <w:r>
              <w:rPr>
                <w:sz w:val="15"/>
              </w:rPr>
              <w:t>Maintain accuracy, grounding, source traceability, controlled-language boundaries and review of generated or classified content.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PHAR-THR-007, PHAR-THR-008, PHAR-THR-009, PHAR-THR-010, PHAR-THR-011, PHAR-THR-013</w:t>
            </w:r>
          </w:p>
        </w:tc>
      </w:tr>
      <w:tr>
        <w:tc>
          <w:tcPr>
            <w:tcW w:type="dxa" w:w="5112"/>
            <w:vAlign w:val="top"/>
          </w:tcPr>
          <w:p>
            <w:r>
              <w:rPr>
                <w:sz w:val="15"/>
              </w:rPr>
              <w:t>Mapped use cases</w:t>
            </w:r>
          </w:p>
        </w:tc>
        <w:tc>
          <w:tcPr>
            <w:tcW w:type="dxa" w:w="5112"/>
            <w:vAlign w:val="top"/>
          </w:tcPr>
          <w:p>
            <w:r>
              <w:rPr>
                <w:sz w:val="15"/>
              </w:rPr>
              <w:t>PHAR-UC-001, PHAR-UC-002, PHAR-UC-009, PHAR-UC-013, PHAR-UC-033</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D5-CTL-05 — PRIVACY-BY-DESIGN VERIFICATION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D5: CONTENT SAFETY &amp; OUTPUT INTEGRITY</w:t>
            </w:r>
          </w:p>
        </w:tc>
      </w:tr>
      <w:tr>
        <w:tc>
          <w:tcPr>
            <w:tcW w:type="dxa" w:w="5112"/>
            <w:vAlign w:val="top"/>
          </w:tcPr>
          <w:p>
            <w:r>
              <w:rPr>
                <w:sz w:val="15"/>
              </w:rPr>
              <w:t>Authoritative source statement</w:t>
            </w:r>
          </w:p>
        </w:tc>
        <w:tc>
          <w:tcPr>
            <w:tcW w:type="dxa" w:w="5112"/>
            <w:vAlign w:val="top"/>
          </w:tcPr>
          <w:p>
            <w:r>
              <w:rPr>
                <w:sz w:val="15"/>
              </w:rPr>
              <w:t>Data minimization + purpose limitation + machine unlearning.</w:t>
            </w:r>
          </w:p>
        </w:tc>
      </w:tr>
      <w:tr>
        <w:tc>
          <w:tcPr>
            <w:tcW w:type="dxa" w:w="5112"/>
            <w:vAlign w:val="top"/>
          </w:tcPr>
          <w:p>
            <w:r>
              <w:rPr>
                <w:sz w:val="15"/>
              </w:rPr>
              <w:t>Pharmaceutical interpretation</w:t>
            </w:r>
          </w:p>
        </w:tc>
        <w:tc>
          <w:tcPr>
            <w:tcW w:type="dxa" w:w="5112"/>
            <w:vAlign w:val="top"/>
          </w:tcPr>
          <w:p>
            <w:r>
              <w:rPr>
                <w:sz w:val="15"/>
              </w:rPr>
              <w:t>Maintain accuracy, grounding, source traceability, controlled-language boundaries and review of generated or classified content.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PHAR-THR-007, PHAR-THR-008, PHAR-THR-009, PHAR-THR-010, PHAR-THR-011, PHAR-THR-013</w:t>
            </w:r>
          </w:p>
        </w:tc>
      </w:tr>
      <w:tr>
        <w:tc>
          <w:tcPr>
            <w:tcW w:type="dxa" w:w="5112"/>
            <w:vAlign w:val="top"/>
          </w:tcPr>
          <w:p>
            <w:r>
              <w:rPr>
                <w:sz w:val="15"/>
              </w:rPr>
              <w:t>Mapped use cases</w:t>
            </w:r>
          </w:p>
        </w:tc>
        <w:tc>
          <w:tcPr>
            <w:tcW w:type="dxa" w:w="5112"/>
            <w:vAlign w:val="top"/>
          </w:tcPr>
          <w:p>
            <w:r>
              <w:rPr>
                <w:sz w:val="15"/>
              </w:rPr>
              <w:t>PHAR-UC-001, PHAR-UC-002, PHAR-UC-009, PHAR-UC-013, PHAR-UC-033</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D5-CTL-06 — PRIVACY-PRESERVING ML VALIDATION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D5: CONTENT SAFETY &amp; OUTPUT INTEGRITY</w:t>
            </w:r>
          </w:p>
        </w:tc>
      </w:tr>
      <w:tr>
        <w:tc>
          <w:tcPr>
            <w:tcW w:type="dxa" w:w="5112"/>
            <w:vAlign w:val="top"/>
          </w:tcPr>
          <w:p>
            <w:r>
              <w:rPr>
                <w:sz w:val="15"/>
              </w:rPr>
              <w:t>Authoritative source statement</w:t>
            </w:r>
          </w:p>
        </w:tc>
        <w:tc>
          <w:tcPr>
            <w:tcW w:type="dxa" w:w="5112"/>
            <w:vAlign w:val="top"/>
          </w:tcPr>
          <w:p>
            <w:r>
              <w:rPr>
                <w:sz w:val="15"/>
              </w:rPr>
              <w:t>Differential privacy + membership inference testing.</w:t>
            </w:r>
          </w:p>
        </w:tc>
      </w:tr>
      <w:tr>
        <w:tc>
          <w:tcPr>
            <w:tcW w:type="dxa" w:w="5112"/>
            <w:vAlign w:val="top"/>
          </w:tcPr>
          <w:p>
            <w:r>
              <w:rPr>
                <w:sz w:val="15"/>
              </w:rPr>
              <w:t>Pharmaceutical interpretation</w:t>
            </w:r>
          </w:p>
        </w:tc>
        <w:tc>
          <w:tcPr>
            <w:tcW w:type="dxa" w:w="5112"/>
            <w:vAlign w:val="top"/>
          </w:tcPr>
          <w:p>
            <w:r>
              <w:rPr>
                <w:sz w:val="15"/>
              </w:rPr>
              <w:t>Maintain accuracy, grounding, source traceability, controlled-language boundaries and review of generated or classified content.</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PHAR-THR-007, PHAR-THR-008, PHAR-THR-009, PHAR-THR-010, PHAR-THR-011, PHAR-THR-013</w:t>
            </w:r>
          </w:p>
        </w:tc>
      </w:tr>
      <w:tr>
        <w:tc>
          <w:tcPr>
            <w:tcW w:type="dxa" w:w="5112"/>
            <w:vAlign w:val="top"/>
          </w:tcPr>
          <w:p>
            <w:r>
              <w:rPr>
                <w:sz w:val="15"/>
              </w:rPr>
              <w:t>Mapped use cases</w:t>
            </w:r>
          </w:p>
        </w:tc>
        <w:tc>
          <w:tcPr>
            <w:tcW w:type="dxa" w:w="5112"/>
            <w:vAlign w:val="top"/>
          </w:tcPr>
          <w:p>
            <w:r>
              <w:rPr>
                <w:sz w:val="15"/>
              </w:rPr>
              <w:t>PHAR-UC-001, PHAR-UC-002, PHAR-UC-009, PHAR-UC-013, PHAR-UC-033</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D6-CTL-01 — HUMAN-IN-THE-LOOP FOR HIGH-RISK ACTIONS</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D6: GOVERNANCE, ACCOUNTABILITY &amp; HUMAN OVERSIGHT</w:t>
            </w:r>
          </w:p>
        </w:tc>
      </w:tr>
      <w:tr>
        <w:tc>
          <w:tcPr>
            <w:tcW w:type="dxa" w:w="5112"/>
            <w:vAlign w:val="top"/>
          </w:tcPr>
          <w:p>
            <w:r>
              <w:rPr>
                <w:sz w:val="15"/>
              </w:rPr>
              <w:t>Authoritative source statement</w:t>
            </w:r>
          </w:p>
        </w:tc>
        <w:tc>
          <w:tcPr>
            <w:tcW w:type="dxa" w:w="5112"/>
            <w:vAlign w:val="top"/>
          </w:tcPr>
          <w:p>
            <w:r>
              <w:rPr>
                <w:sz w:val="15"/>
              </w:rPr>
              <w:t>Approval workflow + policy enforcement + audit log.</w:t>
            </w:r>
          </w:p>
        </w:tc>
      </w:tr>
      <w:tr>
        <w:tc>
          <w:tcPr>
            <w:tcW w:type="dxa" w:w="5112"/>
            <w:vAlign w:val="top"/>
          </w:tcPr>
          <w:p>
            <w:r>
              <w:rPr>
                <w:sz w:val="15"/>
              </w:rPr>
              <w:t>Pharmaceutical interpretation</w:t>
            </w:r>
          </w:p>
        </w:tc>
        <w:tc>
          <w:tcPr>
            <w:tcW w:type="dxa" w:w="5112"/>
            <w:vAlign w:val="top"/>
          </w:tcPr>
          <w:p>
            <w:r>
              <w:rPr>
                <w:sz w:val="15"/>
              </w:rPr>
              <w:t>Establish accountability, intended-use approval, GxP determination, human oversight, evidence, escalation and periodic governance.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PHAR-THR-022, PHAR-THR-023, PHAR-THR-024, PHAR-THR-025, PHAR-THR-042, PHAR-THR-043</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D6-CTL-02 — AUDIT TRAIL COMPLETENESS</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D6: GOVERNANCE, ACCOUNTABILITY &amp; HUMAN OVERSIGHT</w:t>
            </w:r>
          </w:p>
        </w:tc>
      </w:tr>
      <w:tr>
        <w:tc>
          <w:tcPr>
            <w:tcW w:type="dxa" w:w="5112"/>
            <w:vAlign w:val="top"/>
          </w:tcPr>
          <w:p>
            <w:r>
              <w:rPr>
                <w:sz w:val="15"/>
              </w:rPr>
              <w:t>Authoritative source statement</w:t>
            </w:r>
          </w:p>
        </w:tc>
        <w:tc>
          <w:tcPr>
            <w:tcW w:type="dxa" w:w="5112"/>
            <w:vAlign w:val="top"/>
          </w:tcPr>
          <w:p>
            <w:r>
              <w:rPr>
                <w:sz w:val="15"/>
              </w:rPr>
              <w:t>Structured logging + SIEM integration + retention enforcement.</w:t>
            </w:r>
          </w:p>
        </w:tc>
      </w:tr>
      <w:tr>
        <w:tc>
          <w:tcPr>
            <w:tcW w:type="dxa" w:w="5112"/>
            <w:vAlign w:val="top"/>
          </w:tcPr>
          <w:p>
            <w:r>
              <w:rPr>
                <w:sz w:val="15"/>
              </w:rPr>
              <w:t>Pharmaceutical interpretation</w:t>
            </w:r>
          </w:p>
        </w:tc>
        <w:tc>
          <w:tcPr>
            <w:tcW w:type="dxa" w:w="5112"/>
            <w:vAlign w:val="top"/>
          </w:tcPr>
          <w:p>
            <w:r>
              <w:rPr>
                <w:sz w:val="15"/>
              </w:rPr>
              <w:t>Establish accountability, intended-use approval, GxP determination, human oversight, evidence, escalation and periodic governance.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PHAR-THR-022, PHAR-THR-023, PHAR-THR-024, PHAR-THR-025, PHAR-THR-042, PHAR-THR-043</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D6-CTL-03 — AI MODEL CARD COMPLETENESS</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D6: GOVERNANCE, ACCOUNTABILITY &amp; HUMAN OVERSIGHT</w:t>
            </w:r>
          </w:p>
        </w:tc>
      </w:tr>
      <w:tr>
        <w:tc>
          <w:tcPr>
            <w:tcW w:type="dxa" w:w="5112"/>
            <w:vAlign w:val="top"/>
          </w:tcPr>
          <w:p>
            <w:r>
              <w:rPr>
                <w:sz w:val="15"/>
              </w:rPr>
              <w:t>Authoritative source statement</w:t>
            </w:r>
          </w:p>
        </w:tc>
        <w:tc>
          <w:tcPr>
            <w:tcW w:type="dxa" w:w="5112"/>
            <w:vAlign w:val="top"/>
          </w:tcPr>
          <w:p>
            <w:r>
              <w:rPr>
                <w:sz w:val="15"/>
              </w:rPr>
              <w:t>Standardized template + version control + public accessibility.</w:t>
            </w:r>
          </w:p>
        </w:tc>
      </w:tr>
      <w:tr>
        <w:tc>
          <w:tcPr>
            <w:tcW w:type="dxa" w:w="5112"/>
            <w:vAlign w:val="top"/>
          </w:tcPr>
          <w:p>
            <w:r>
              <w:rPr>
                <w:sz w:val="15"/>
              </w:rPr>
              <w:t>Pharmaceutical interpretation</w:t>
            </w:r>
          </w:p>
        </w:tc>
        <w:tc>
          <w:tcPr>
            <w:tcW w:type="dxa" w:w="5112"/>
            <w:vAlign w:val="top"/>
          </w:tcPr>
          <w:p>
            <w:r>
              <w:rPr>
                <w:sz w:val="15"/>
              </w:rPr>
              <w:t>Establish accountability, intended-use approval, GxP determination, human oversight, evidence, escalation and periodic governance.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PHAR-THR-022, PHAR-THR-023, PHAR-THR-024, PHAR-THR-025, PHAR-THR-042, PHAR-THR-043</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D6-CTL-04 — AI INCIDENT RESPONSE READINESS</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D6: GOVERNANCE, ACCOUNTABILITY &amp; HUMAN OVERSIGHT</w:t>
            </w:r>
          </w:p>
        </w:tc>
      </w:tr>
      <w:tr>
        <w:tc>
          <w:tcPr>
            <w:tcW w:type="dxa" w:w="5112"/>
            <w:vAlign w:val="top"/>
          </w:tcPr>
          <w:p>
            <w:r>
              <w:rPr>
                <w:sz w:val="15"/>
              </w:rPr>
              <w:t>Authoritative source statement</w:t>
            </w:r>
          </w:p>
        </w:tc>
        <w:tc>
          <w:tcPr>
            <w:tcW w:type="dxa" w:w="5112"/>
            <w:vAlign w:val="top"/>
          </w:tcPr>
          <w:p>
            <w:r>
              <w:rPr>
                <w:sz w:val="15"/>
              </w:rPr>
              <w:t>AI-IR runbook + tabletop exercises + containment automation.</w:t>
            </w:r>
          </w:p>
        </w:tc>
      </w:tr>
      <w:tr>
        <w:tc>
          <w:tcPr>
            <w:tcW w:type="dxa" w:w="5112"/>
            <w:vAlign w:val="top"/>
          </w:tcPr>
          <w:p>
            <w:r>
              <w:rPr>
                <w:sz w:val="15"/>
              </w:rPr>
              <w:t>Pharmaceutical interpretation</w:t>
            </w:r>
          </w:p>
        </w:tc>
        <w:tc>
          <w:tcPr>
            <w:tcW w:type="dxa" w:w="5112"/>
            <w:vAlign w:val="top"/>
          </w:tcPr>
          <w:p>
            <w:r>
              <w:rPr>
                <w:sz w:val="15"/>
              </w:rPr>
              <w:t>Establish accountability, intended-use approval, GxP determination, human oversight, evidence, escalation and periodic governance.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PHAR-THR-022, PHAR-THR-023, PHAR-THR-024, PHAR-THR-025, PHAR-THR-042, PHAR-THR-043</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D6-CTL-05 — MODEL DEPRECATION &amp; DECOMMISSIONING</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D6: GOVERNANCE, ACCOUNTABILITY &amp; HUMAN OVERSIGHT</w:t>
            </w:r>
          </w:p>
        </w:tc>
      </w:tr>
      <w:tr>
        <w:tc>
          <w:tcPr>
            <w:tcW w:type="dxa" w:w="5112"/>
            <w:vAlign w:val="top"/>
          </w:tcPr>
          <w:p>
            <w:r>
              <w:rPr>
                <w:sz w:val="15"/>
              </w:rPr>
              <w:t>Authoritative source statement</w:t>
            </w:r>
          </w:p>
        </w:tc>
        <w:tc>
          <w:tcPr>
            <w:tcW w:type="dxa" w:w="5112"/>
            <w:vAlign w:val="top"/>
          </w:tcPr>
          <w:p>
            <w:r>
              <w:rPr>
                <w:sz w:val="15"/>
              </w:rPr>
              <w:t>Access revocation + decommission audit + scheduled lifecycle.</w:t>
            </w:r>
          </w:p>
        </w:tc>
      </w:tr>
      <w:tr>
        <w:tc>
          <w:tcPr>
            <w:tcW w:type="dxa" w:w="5112"/>
            <w:vAlign w:val="top"/>
          </w:tcPr>
          <w:p>
            <w:r>
              <w:rPr>
                <w:sz w:val="15"/>
              </w:rPr>
              <w:t>Pharmaceutical interpretation</w:t>
            </w:r>
          </w:p>
        </w:tc>
        <w:tc>
          <w:tcPr>
            <w:tcW w:type="dxa" w:w="5112"/>
            <w:vAlign w:val="top"/>
          </w:tcPr>
          <w:p>
            <w:r>
              <w:rPr>
                <w:sz w:val="15"/>
              </w:rPr>
              <w:t>Establish accountability, intended-use approval, GxP determination, human oversight, evidence, escalation and periodic governance.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PHAR-THR-022, PHAR-THR-023, PHAR-THR-024, PHAR-THR-025, PHAR-THR-042, PHAR-THR-043</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D6-CTL-06 — THIRD-PARTY AI VENDOR GOVERNANCE</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D6: GOVERNANCE, ACCOUNTABILITY &amp; HUMAN OVERSIGHT</w:t>
            </w:r>
          </w:p>
        </w:tc>
      </w:tr>
      <w:tr>
        <w:tc>
          <w:tcPr>
            <w:tcW w:type="dxa" w:w="5112"/>
            <w:vAlign w:val="top"/>
          </w:tcPr>
          <w:p>
            <w:r>
              <w:rPr>
                <w:sz w:val="15"/>
              </w:rPr>
              <w:t>Authoritative source statement</w:t>
            </w:r>
          </w:p>
        </w:tc>
        <w:tc>
          <w:tcPr>
            <w:tcW w:type="dxa" w:w="5112"/>
            <w:vAlign w:val="top"/>
          </w:tcPr>
          <w:p>
            <w:r>
              <w:rPr>
                <w:sz w:val="15"/>
              </w:rPr>
              <w:t>Contractual security requirements + annual assessment + audit rights.</w:t>
            </w:r>
          </w:p>
        </w:tc>
      </w:tr>
      <w:tr>
        <w:tc>
          <w:tcPr>
            <w:tcW w:type="dxa" w:w="5112"/>
            <w:vAlign w:val="top"/>
          </w:tcPr>
          <w:p>
            <w:r>
              <w:rPr>
                <w:sz w:val="15"/>
              </w:rPr>
              <w:t>Pharmaceutical interpretation</w:t>
            </w:r>
          </w:p>
        </w:tc>
        <w:tc>
          <w:tcPr>
            <w:tcW w:type="dxa" w:w="5112"/>
            <w:vAlign w:val="top"/>
          </w:tcPr>
          <w:p>
            <w:r>
              <w:rPr>
                <w:sz w:val="15"/>
              </w:rPr>
              <w:t>Establish accountability, intended-use approval, GxP determination, human oversight, evidence, escalation and periodic governance.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PHAR-THR-022, PHAR-THR-023, PHAR-THR-024, PHAR-THR-025, PHAR-THR-042, PHAR-THR-043</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D6-CTL-07 — AI RESILIENCE &amp; BUSINESS CONTINUITY</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D6: GOVERNANCE, ACCOUNTABILITY &amp; HUMAN OVERSIGHT</w:t>
            </w:r>
          </w:p>
        </w:tc>
      </w:tr>
      <w:tr>
        <w:tc>
          <w:tcPr>
            <w:tcW w:type="dxa" w:w="5112"/>
            <w:vAlign w:val="top"/>
          </w:tcPr>
          <w:p>
            <w:r>
              <w:rPr>
                <w:sz w:val="15"/>
              </w:rPr>
              <w:t>Authoritative source statement</w:t>
            </w:r>
          </w:p>
        </w:tc>
        <w:tc>
          <w:tcPr>
            <w:tcW w:type="dxa" w:w="5112"/>
            <w:vAlign w:val="top"/>
          </w:tcPr>
          <w:p>
            <w:r>
              <w:rPr>
                <w:sz w:val="15"/>
              </w:rPr>
              <w:t>Failover systems + degraded mode + RTO/RPO definition.</w:t>
            </w:r>
          </w:p>
        </w:tc>
      </w:tr>
      <w:tr>
        <w:tc>
          <w:tcPr>
            <w:tcW w:type="dxa" w:w="5112"/>
            <w:vAlign w:val="top"/>
          </w:tcPr>
          <w:p>
            <w:r>
              <w:rPr>
                <w:sz w:val="15"/>
              </w:rPr>
              <w:t>Pharmaceutical interpretation</w:t>
            </w:r>
          </w:p>
        </w:tc>
        <w:tc>
          <w:tcPr>
            <w:tcW w:type="dxa" w:w="5112"/>
            <w:vAlign w:val="top"/>
          </w:tcPr>
          <w:p>
            <w:r>
              <w:rPr>
                <w:sz w:val="15"/>
              </w:rPr>
              <w:t>Establish accountability, intended-use approval, GxP determination, human oversight, evidence, escalation and periodic governance.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PHAR-THR-022, PHAR-THR-023, PHAR-THR-024, PHAR-THR-025, PHAR-THR-042, PHAR-THR-043</w:t>
            </w:r>
          </w:p>
        </w:tc>
      </w:tr>
      <w:tr>
        <w:tc>
          <w:tcPr>
            <w:tcW w:type="dxa" w:w="5112"/>
            <w:vAlign w:val="top"/>
          </w:tcPr>
          <w:p>
            <w:r>
              <w:rPr>
                <w:sz w:val="15"/>
              </w:rPr>
              <w:t>Mapped use cases</w:t>
            </w:r>
          </w:p>
        </w:tc>
        <w:tc>
          <w:tcPr>
            <w:tcW w:type="dxa" w:w="5112"/>
            <w:vAlign w:val="top"/>
          </w:tcPr>
          <w:p>
            <w:r>
              <w:rPr>
                <w:sz w:val="15"/>
              </w:rPr>
              <w:t>PHAR-UC-006, PHAR-UC-012, PHAR-UC-020, PHAR-UC-025, PHAR-UC-040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D7-CTL-H01 — AI-GENERATED PHISHING SIMULATION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D7: HUMAN &amp; SOCIETAL HARMS</w:t>
            </w:r>
          </w:p>
        </w:tc>
      </w:tr>
      <w:tr>
        <w:tc>
          <w:tcPr>
            <w:tcW w:type="dxa" w:w="5112"/>
            <w:vAlign w:val="top"/>
          </w:tcPr>
          <w:p>
            <w:r>
              <w:rPr>
                <w:sz w:val="15"/>
              </w:rPr>
              <w:t>Authoritative source statement</w:t>
            </w:r>
          </w:p>
        </w:tc>
        <w:tc>
          <w:tcPr>
            <w:tcW w:type="dxa" w:w="5112"/>
            <w:vAlign w:val="top"/>
          </w:tcPr>
          <w:p>
            <w:r>
              <w:rPr>
                <w:sz w:val="15"/>
              </w:rPr>
              <w:t>Simulation campaigns + click tracking + remedial training.</w:t>
            </w:r>
          </w:p>
        </w:tc>
      </w:tr>
      <w:tr>
        <w:tc>
          <w:tcPr>
            <w:tcW w:type="dxa" w:w="5112"/>
            <w:vAlign w:val="top"/>
          </w:tcPr>
          <w:p>
            <w:r>
              <w:rPr>
                <w:sz w:val="15"/>
              </w:rPr>
              <w:t>Pharmaceutical interpretation</w:t>
            </w:r>
          </w:p>
        </w:tc>
        <w:tc>
          <w:tcPr>
            <w:tcW w:type="dxa" w:w="5112"/>
            <w:vAlign w:val="top"/>
          </w:tcPr>
          <w:p>
            <w:r>
              <w:rPr>
                <w:sz w:val="15"/>
              </w:rPr>
              <w:t>Assess participant, patient, workforce and societal harms, including bias, accessibility, privacy, exclusion and automation bias.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PHAR-THR-005, PHAR-THR-006, PHAR-THR-042, PHAR-THR-043, PHAR-THR-048, PHAR-THR-049</w:t>
            </w:r>
          </w:p>
        </w:tc>
      </w:tr>
      <w:tr>
        <w:tc>
          <w:tcPr>
            <w:tcW w:type="dxa" w:w="5112"/>
            <w:vAlign w:val="top"/>
          </w:tcPr>
          <w:p>
            <w:r>
              <w:rPr>
                <w:sz w:val="15"/>
              </w:rPr>
              <w:t>Mapped use cases</w:t>
            </w:r>
          </w:p>
        </w:tc>
        <w:tc>
          <w:tcPr>
            <w:tcW w:type="dxa" w:w="5112"/>
            <w:vAlign w:val="top"/>
          </w:tcPr>
          <w:p>
            <w:r>
              <w:rPr>
                <w:sz w:val="15"/>
              </w:rPr>
              <w:t>PHAR-UC-004, PHAR-UC-007, PHAR-UC-008, PHAR-UC-039</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D7-CTL-H02 — DEEPFAKE DETECTION TRAINING</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D7: HUMAN &amp; SOCIETAL HARMS</w:t>
            </w:r>
          </w:p>
        </w:tc>
      </w:tr>
      <w:tr>
        <w:tc>
          <w:tcPr>
            <w:tcW w:type="dxa" w:w="5112"/>
            <w:vAlign w:val="top"/>
          </w:tcPr>
          <w:p>
            <w:r>
              <w:rPr>
                <w:sz w:val="15"/>
              </w:rPr>
              <w:t>Authoritative source statement</w:t>
            </w:r>
          </w:p>
        </w:tc>
        <w:tc>
          <w:tcPr>
            <w:tcW w:type="dxa" w:w="5112"/>
            <w:vAlign w:val="top"/>
          </w:tcPr>
          <w:p>
            <w:r>
              <w:rPr>
                <w:sz w:val="15"/>
              </w:rPr>
              <w:t>Training modules + quiz + simulated attacks.</w:t>
            </w:r>
          </w:p>
        </w:tc>
      </w:tr>
      <w:tr>
        <w:tc>
          <w:tcPr>
            <w:tcW w:type="dxa" w:w="5112"/>
            <w:vAlign w:val="top"/>
          </w:tcPr>
          <w:p>
            <w:r>
              <w:rPr>
                <w:sz w:val="15"/>
              </w:rPr>
              <w:t>Pharmaceutical interpretation</w:t>
            </w:r>
          </w:p>
        </w:tc>
        <w:tc>
          <w:tcPr>
            <w:tcW w:type="dxa" w:w="5112"/>
            <w:vAlign w:val="top"/>
          </w:tcPr>
          <w:p>
            <w:r>
              <w:rPr>
                <w:sz w:val="15"/>
              </w:rPr>
              <w:t>Assess participant, patient, workforce and societal harms, including bias, accessibility, privacy, exclusion and automation bias.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PHAR-THR-005, PHAR-THR-006, PHAR-THR-042, PHAR-THR-043, PHAR-THR-048, PHAR-THR-049</w:t>
            </w:r>
          </w:p>
        </w:tc>
      </w:tr>
      <w:tr>
        <w:tc>
          <w:tcPr>
            <w:tcW w:type="dxa" w:w="5112"/>
            <w:vAlign w:val="top"/>
          </w:tcPr>
          <w:p>
            <w:r>
              <w:rPr>
                <w:sz w:val="15"/>
              </w:rPr>
              <w:t>Mapped use cases</w:t>
            </w:r>
          </w:p>
        </w:tc>
        <w:tc>
          <w:tcPr>
            <w:tcW w:type="dxa" w:w="5112"/>
            <w:vAlign w:val="top"/>
          </w:tcPr>
          <w:p>
            <w:r>
              <w:rPr>
                <w:sz w:val="15"/>
              </w:rPr>
              <w:t>PHAR-UC-004, PHAR-UC-007, PHAR-UC-008, PHAR-UC-039</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D7-CTL-H03 — OUT-OF-BAND AUTHENTICATION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D7: HUMAN &amp; SOCIETAL HARMS</w:t>
            </w:r>
          </w:p>
        </w:tc>
      </w:tr>
      <w:tr>
        <w:tc>
          <w:tcPr>
            <w:tcW w:type="dxa" w:w="5112"/>
            <w:vAlign w:val="top"/>
          </w:tcPr>
          <w:p>
            <w:r>
              <w:rPr>
                <w:sz w:val="15"/>
              </w:rPr>
              <w:t>Authoritative source statement</w:t>
            </w:r>
          </w:p>
        </w:tc>
        <w:tc>
          <w:tcPr>
            <w:tcW w:type="dxa" w:w="5112"/>
            <w:vAlign w:val="top"/>
          </w:tcPr>
          <w:p>
            <w:r>
              <w:rPr>
                <w:sz w:val="15"/>
              </w:rPr>
              <w:t>Independent channel verification + policy enforcement.</w:t>
            </w:r>
          </w:p>
        </w:tc>
      </w:tr>
      <w:tr>
        <w:tc>
          <w:tcPr>
            <w:tcW w:type="dxa" w:w="5112"/>
            <w:vAlign w:val="top"/>
          </w:tcPr>
          <w:p>
            <w:r>
              <w:rPr>
                <w:sz w:val="15"/>
              </w:rPr>
              <w:t>Pharmaceutical interpretation</w:t>
            </w:r>
          </w:p>
        </w:tc>
        <w:tc>
          <w:tcPr>
            <w:tcW w:type="dxa" w:w="5112"/>
            <w:vAlign w:val="top"/>
          </w:tcPr>
          <w:p>
            <w:r>
              <w:rPr>
                <w:sz w:val="15"/>
              </w:rPr>
              <w:t>Assess participant, patient, workforce and societal harms, including bias, accessibility, privacy, exclusion and automation bias.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PHAR-THR-005, PHAR-THR-006, PHAR-THR-042, PHAR-THR-043, PHAR-THR-048, PHAR-THR-049</w:t>
            </w:r>
          </w:p>
        </w:tc>
      </w:tr>
      <w:tr>
        <w:tc>
          <w:tcPr>
            <w:tcW w:type="dxa" w:w="5112"/>
            <w:vAlign w:val="top"/>
          </w:tcPr>
          <w:p>
            <w:r>
              <w:rPr>
                <w:sz w:val="15"/>
              </w:rPr>
              <w:t>Mapped use cases</w:t>
            </w:r>
          </w:p>
        </w:tc>
        <w:tc>
          <w:tcPr>
            <w:tcW w:type="dxa" w:w="5112"/>
            <w:vAlign w:val="top"/>
          </w:tcPr>
          <w:p>
            <w:r>
              <w:rPr>
                <w:sz w:val="15"/>
              </w:rPr>
              <w:t>PHAR-UC-004, PHAR-UC-007, PHAR-UC-008, PHAR-UC-039</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D7-CTL-H04 — AI SOCIAL ENGINEERING IR</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D7: HUMAN &amp; SOCIETAL HARMS</w:t>
            </w:r>
          </w:p>
        </w:tc>
      </w:tr>
      <w:tr>
        <w:tc>
          <w:tcPr>
            <w:tcW w:type="dxa" w:w="5112"/>
            <w:vAlign w:val="top"/>
          </w:tcPr>
          <w:p>
            <w:r>
              <w:rPr>
                <w:sz w:val="15"/>
              </w:rPr>
              <w:t>Authoritative source statement</w:t>
            </w:r>
          </w:p>
        </w:tc>
        <w:tc>
          <w:tcPr>
            <w:tcW w:type="dxa" w:w="5112"/>
            <w:vAlign w:val="top"/>
          </w:tcPr>
          <w:p>
            <w:r>
              <w:rPr>
                <w:sz w:val="15"/>
              </w:rPr>
              <w:t>Tabletop exercises + IR plan + verification triggers.</w:t>
            </w:r>
          </w:p>
        </w:tc>
      </w:tr>
      <w:tr>
        <w:tc>
          <w:tcPr>
            <w:tcW w:type="dxa" w:w="5112"/>
            <w:vAlign w:val="top"/>
          </w:tcPr>
          <w:p>
            <w:r>
              <w:rPr>
                <w:sz w:val="15"/>
              </w:rPr>
              <w:t>Pharmaceutical interpretation</w:t>
            </w:r>
          </w:p>
        </w:tc>
        <w:tc>
          <w:tcPr>
            <w:tcW w:type="dxa" w:w="5112"/>
            <w:vAlign w:val="top"/>
          </w:tcPr>
          <w:p>
            <w:r>
              <w:rPr>
                <w:sz w:val="15"/>
              </w:rPr>
              <w:t>Assess participant, patient, workforce and societal harms, including bias, accessibility, privacy, exclusion and automation bias.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PHAR-THR-005, PHAR-THR-006, PHAR-THR-042, PHAR-THR-043, PHAR-THR-048, PHAR-THR-049</w:t>
            </w:r>
          </w:p>
        </w:tc>
      </w:tr>
      <w:tr>
        <w:tc>
          <w:tcPr>
            <w:tcW w:type="dxa" w:w="5112"/>
            <w:vAlign w:val="top"/>
          </w:tcPr>
          <w:p>
            <w:r>
              <w:rPr>
                <w:sz w:val="15"/>
              </w:rPr>
              <w:t>Mapped use cases</w:t>
            </w:r>
          </w:p>
        </w:tc>
        <w:tc>
          <w:tcPr>
            <w:tcW w:type="dxa" w:w="5112"/>
            <w:vAlign w:val="top"/>
          </w:tcPr>
          <w:p>
            <w:r>
              <w:rPr>
                <w:sz w:val="15"/>
              </w:rPr>
              <w:t>PHAR-UC-004, PHAR-UC-007, PHAR-UC-008, PHAR-UC-039</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D7-CTL-H05 — AI-ENHANCED EXTERNAL ATTACK DEFENSE</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D7: HUMAN &amp; SOCIETAL HARMS</w:t>
            </w:r>
          </w:p>
        </w:tc>
      </w:tr>
      <w:tr>
        <w:tc>
          <w:tcPr>
            <w:tcW w:type="dxa" w:w="5112"/>
            <w:vAlign w:val="top"/>
          </w:tcPr>
          <w:p>
            <w:r>
              <w:rPr>
                <w:sz w:val="15"/>
              </w:rPr>
              <w:t>Authoritative source statement</w:t>
            </w:r>
          </w:p>
        </w:tc>
        <w:tc>
          <w:tcPr>
            <w:tcW w:type="dxa" w:w="5112"/>
            <w:vAlign w:val="top"/>
          </w:tcPr>
          <w:p>
            <w:r>
              <w:rPr>
                <w:sz w:val="15"/>
              </w:rPr>
              <w:t>AI-generated phishing detection + SOC tuning + response automation.</w:t>
            </w:r>
          </w:p>
        </w:tc>
      </w:tr>
      <w:tr>
        <w:tc>
          <w:tcPr>
            <w:tcW w:type="dxa" w:w="5112"/>
            <w:vAlign w:val="top"/>
          </w:tcPr>
          <w:p>
            <w:r>
              <w:rPr>
                <w:sz w:val="15"/>
              </w:rPr>
              <w:t>Pharmaceutical interpretation</w:t>
            </w:r>
          </w:p>
        </w:tc>
        <w:tc>
          <w:tcPr>
            <w:tcW w:type="dxa" w:w="5112"/>
            <w:vAlign w:val="top"/>
          </w:tcPr>
          <w:p>
            <w:r>
              <w:rPr>
                <w:sz w:val="15"/>
              </w:rPr>
              <w:t>Assess participant, patient, workforce and societal harms, including bias, accessibility, privacy, exclusion and automation bias.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PHAR-THR-005, PHAR-THR-006, PHAR-THR-042, PHAR-THR-043, PHAR-THR-048, PHAR-THR-049</w:t>
            </w:r>
          </w:p>
        </w:tc>
      </w:tr>
      <w:tr>
        <w:tc>
          <w:tcPr>
            <w:tcW w:type="dxa" w:w="5112"/>
            <w:vAlign w:val="top"/>
          </w:tcPr>
          <w:p>
            <w:r>
              <w:rPr>
                <w:sz w:val="15"/>
              </w:rPr>
              <w:t>Mapped use cases</w:t>
            </w:r>
          </w:p>
        </w:tc>
        <w:tc>
          <w:tcPr>
            <w:tcW w:type="dxa" w:w="5112"/>
            <w:vAlign w:val="top"/>
          </w:tcPr>
          <w:p>
            <w:r>
              <w:rPr>
                <w:sz w:val="15"/>
              </w:rPr>
              <w:t>PHAR-UC-004, PHAR-UC-007, PHAR-UC-008, PHAR-UC-039</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D8-CTL-01 — EU AI ACT RISK TIER MAPPING</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D8: REGULATORY ALIGNMENT &amp; COMPLIANCE</w:t>
            </w:r>
          </w:p>
        </w:tc>
      </w:tr>
      <w:tr>
        <w:tc>
          <w:tcPr>
            <w:tcW w:type="dxa" w:w="5112"/>
            <w:vAlign w:val="top"/>
          </w:tcPr>
          <w:p>
            <w:r>
              <w:rPr>
                <w:sz w:val="15"/>
              </w:rPr>
              <w:t>Authoritative source statement</w:t>
            </w:r>
          </w:p>
        </w:tc>
        <w:tc>
          <w:tcPr>
            <w:tcW w:type="dxa" w:w="5112"/>
            <w:vAlign w:val="top"/>
          </w:tcPr>
          <w:p>
            <w:r>
              <w:rPr>
                <w:sz w:val="15"/>
              </w:rPr>
              <w:t>Risk classification framework + conformity assessment.</w:t>
            </w:r>
          </w:p>
        </w:tc>
      </w:tr>
      <w:tr>
        <w:tc>
          <w:tcPr>
            <w:tcW w:type="dxa" w:w="5112"/>
            <w:vAlign w:val="top"/>
          </w:tcPr>
          <w:p>
            <w:r>
              <w:rPr>
                <w:sz w:val="15"/>
              </w:rPr>
              <w:t>Pharmaceutical interpretation</w:t>
            </w:r>
          </w:p>
        </w:tc>
        <w:tc>
          <w:tcPr>
            <w:tcW w:type="dxa" w:w="5112"/>
            <w:vAlign w:val="top"/>
          </w:tcPr>
          <w:p>
            <w:r>
              <w:rPr>
                <w:sz w:val="15"/>
              </w:rPr>
              <w:t>Map legal, regulatory, privacy, resilience and sector obligations without treating GAISSF as a compliance guarantee.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PHAR-THR-004, PHAR-THR-024, PHAR-THR-048, PHAR-THR-049</w:t>
            </w:r>
          </w:p>
        </w:tc>
      </w:tr>
      <w:tr>
        <w:tc>
          <w:tcPr>
            <w:tcW w:type="dxa" w:w="5112"/>
            <w:vAlign w:val="top"/>
          </w:tcPr>
          <w:p>
            <w:r>
              <w:rPr>
                <w:sz w:val="15"/>
              </w:rPr>
              <w:t>Mapped use cases</w:t>
            </w:r>
          </w:p>
        </w:tc>
        <w:tc>
          <w:tcPr>
            <w:tcW w:type="dxa" w:w="5112"/>
            <w:vAlign w:val="top"/>
          </w:tcPr>
          <w:p>
            <w:r>
              <w:rPr>
                <w:sz w:val="15"/>
              </w:rPr>
              <w:t>PHAR-UC-001, PHAR-UC-006, PHAR-UC-009, PHAR-UC-020, PHAR-UC-036</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D8-CTL-02 — ISO 42001 GAP ANALYSIS</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D8: REGULATORY ALIGNMENT &amp; COMPLIANCE</w:t>
            </w:r>
          </w:p>
        </w:tc>
      </w:tr>
      <w:tr>
        <w:tc>
          <w:tcPr>
            <w:tcW w:type="dxa" w:w="5112"/>
            <w:vAlign w:val="top"/>
          </w:tcPr>
          <w:p>
            <w:r>
              <w:rPr>
                <w:sz w:val="15"/>
              </w:rPr>
              <w:t>Authoritative source statement</w:t>
            </w:r>
          </w:p>
        </w:tc>
        <w:tc>
          <w:tcPr>
            <w:tcW w:type="dxa" w:w="5112"/>
            <w:vAlign w:val="top"/>
          </w:tcPr>
          <w:p>
            <w:r>
              <w:rPr>
                <w:sz w:val="15"/>
              </w:rPr>
              <w:t>Gap analysis methodology + remediation tracking.</w:t>
            </w:r>
          </w:p>
        </w:tc>
      </w:tr>
      <w:tr>
        <w:tc>
          <w:tcPr>
            <w:tcW w:type="dxa" w:w="5112"/>
            <w:vAlign w:val="top"/>
          </w:tcPr>
          <w:p>
            <w:r>
              <w:rPr>
                <w:sz w:val="15"/>
              </w:rPr>
              <w:t>Pharmaceutical interpretation</w:t>
            </w:r>
          </w:p>
        </w:tc>
        <w:tc>
          <w:tcPr>
            <w:tcW w:type="dxa" w:w="5112"/>
            <w:vAlign w:val="top"/>
          </w:tcPr>
          <w:p>
            <w:r>
              <w:rPr>
                <w:sz w:val="15"/>
              </w:rPr>
              <w:t>Map legal, regulatory, privacy, resilience and sector obligations without treating GAISSF as a compliance guarantee.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PHAR-THR-004, PHAR-THR-024, PHAR-THR-048, PHAR-THR-049</w:t>
            </w:r>
          </w:p>
        </w:tc>
      </w:tr>
      <w:tr>
        <w:tc>
          <w:tcPr>
            <w:tcW w:type="dxa" w:w="5112"/>
            <w:vAlign w:val="top"/>
          </w:tcPr>
          <w:p>
            <w:r>
              <w:rPr>
                <w:sz w:val="15"/>
              </w:rPr>
              <w:t>Mapped use cases</w:t>
            </w:r>
          </w:p>
        </w:tc>
        <w:tc>
          <w:tcPr>
            <w:tcW w:type="dxa" w:w="5112"/>
            <w:vAlign w:val="top"/>
          </w:tcPr>
          <w:p>
            <w:r>
              <w:rPr>
                <w:sz w:val="15"/>
              </w:rPr>
              <w:t>PHAR-UC-001, PHAR-UC-006, PHAR-UC-009, PHAR-UC-020, PHAR-UC-036</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D8-CTL-03 — GPAI TECHNICAL DOCUMENTATION VERIFICATION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D8: REGULATORY ALIGNMENT &amp; COMPLIANCE</w:t>
            </w:r>
          </w:p>
        </w:tc>
      </w:tr>
      <w:tr>
        <w:tc>
          <w:tcPr>
            <w:tcW w:type="dxa" w:w="5112"/>
            <w:vAlign w:val="top"/>
          </w:tcPr>
          <w:p>
            <w:r>
              <w:rPr>
                <w:sz w:val="15"/>
              </w:rPr>
              <w:t>Authoritative source statement</w:t>
            </w:r>
          </w:p>
        </w:tc>
        <w:tc>
          <w:tcPr>
            <w:tcW w:type="dxa" w:w="5112"/>
            <w:vAlign w:val="top"/>
          </w:tcPr>
          <w:p>
            <w:r>
              <w:rPr>
                <w:sz w:val="15"/>
              </w:rPr>
              <w:t>Technical documentation + training data summary + copyright attestation.</w:t>
            </w:r>
          </w:p>
        </w:tc>
      </w:tr>
      <w:tr>
        <w:tc>
          <w:tcPr>
            <w:tcW w:type="dxa" w:w="5112"/>
            <w:vAlign w:val="top"/>
          </w:tcPr>
          <w:p>
            <w:r>
              <w:rPr>
                <w:sz w:val="15"/>
              </w:rPr>
              <w:t>Pharmaceutical interpretation</w:t>
            </w:r>
          </w:p>
        </w:tc>
        <w:tc>
          <w:tcPr>
            <w:tcW w:type="dxa" w:w="5112"/>
            <w:vAlign w:val="top"/>
          </w:tcPr>
          <w:p>
            <w:r>
              <w:rPr>
                <w:sz w:val="15"/>
              </w:rPr>
              <w:t>Map legal, regulatory, privacy, resilience and sector obligations without treating GAISSF as a compliance guarantee.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PHAR-THR-004, PHAR-THR-024, PHAR-THR-048, PHAR-THR-049</w:t>
            </w:r>
          </w:p>
        </w:tc>
      </w:tr>
      <w:tr>
        <w:tc>
          <w:tcPr>
            <w:tcW w:type="dxa" w:w="5112"/>
            <w:vAlign w:val="top"/>
          </w:tcPr>
          <w:p>
            <w:r>
              <w:rPr>
                <w:sz w:val="15"/>
              </w:rPr>
              <w:t>Mapped use cases</w:t>
            </w:r>
          </w:p>
        </w:tc>
        <w:tc>
          <w:tcPr>
            <w:tcW w:type="dxa" w:w="5112"/>
            <w:vAlign w:val="top"/>
          </w:tcPr>
          <w:p>
            <w:r>
              <w:rPr>
                <w:sz w:val="15"/>
              </w:rPr>
              <w:t>PHAR-UC-001, PHAR-UC-006, PHAR-UC-009, PHAR-UC-020, PHAR-UC-036</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D8-CTL-04 — DORA ICT INCIDENT REPORTING (FINANCIAL SECTOR)</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D8: REGULATORY ALIGNMENT &amp; COMPLIANCE</w:t>
            </w:r>
          </w:p>
        </w:tc>
      </w:tr>
      <w:tr>
        <w:tc>
          <w:tcPr>
            <w:tcW w:type="dxa" w:w="5112"/>
            <w:vAlign w:val="top"/>
          </w:tcPr>
          <w:p>
            <w:r>
              <w:rPr>
                <w:sz w:val="15"/>
              </w:rPr>
              <w:t>Authoritative source statement</w:t>
            </w:r>
          </w:p>
        </w:tc>
        <w:tc>
          <w:tcPr>
            <w:tcW w:type="dxa" w:w="5112"/>
            <w:vAlign w:val="top"/>
          </w:tcPr>
          <w:p>
            <w:r>
              <w:rPr>
                <w:sz w:val="15"/>
              </w:rPr>
              <w:t>Incident classification + notification workflow + SLA monitoring.</w:t>
            </w:r>
          </w:p>
        </w:tc>
      </w:tr>
      <w:tr>
        <w:tc>
          <w:tcPr>
            <w:tcW w:type="dxa" w:w="5112"/>
            <w:vAlign w:val="top"/>
          </w:tcPr>
          <w:p>
            <w:r>
              <w:rPr>
                <w:sz w:val="15"/>
              </w:rPr>
              <w:t>Pharmaceutical interpretation</w:t>
            </w:r>
          </w:p>
        </w:tc>
        <w:tc>
          <w:tcPr>
            <w:tcW w:type="dxa" w:w="5112"/>
            <w:vAlign w:val="top"/>
          </w:tcPr>
          <w:p>
            <w:r>
              <w:rPr>
                <w:sz w:val="15"/>
              </w:rPr>
              <w:t>Map legal, regulatory, privacy, resilience and sector obligations without treating GAISSF as a compliance guarantee.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PHAR-THR-004, PHAR-THR-024, PHAR-THR-048, PHAR-THR-049</w:t>
            </w:r>
          </w:p>
        </w:tc>
      </w:tr>
      <w:tr>
        <w:tc>
          <w:tcPr>
            <w:tcW w:type="dxa" w:w="5112"/>
            <w:vAlign w:val="top"/>
          </w:tcPr>
          <w:p>
            <w:r>
              <w:rPr>
                <w:sz w:val="15"/>
              </w:rPr>
              <w:t>Mapped use cases</w:t>
            </w:r>
          </w:p>
        </w:tc>
        <w:tc>
          <w:tcPr>
            <w:tcW w:type="dxa" w:w="5112"/>
            <w:vAlign w:val="top"/>
          </w:tcPr>
          <w:p>
            <w:r>
              <w:rPr>
                <w:sz w:val="15"/>
              </w:rPr>
              <w:t>PHAR-UC-001, PHAR-UC-006, PHAR-UC-009, PHAR-UC-020, PHAR-UC-036</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D8-CTL-05 — NIST SP 800-218A COMPLIANCE CHECK</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D8: REGULATORY ALIGNMENT &amp; COMPLIANCE</w:t>
            </w:r>
          </w:p>
        </w:tc>
      </w:tr>
      <w:tr>
        <w:tc>
          <w:tcPr>
            <w:tcW w:type="dxa" w:w="5112"/>
            <w:vAlign w:val="top"/>
          </w:tcPr>
          <w:p>
            <w:r>
              <w:rPr>
                <w:sz w:val="15"/>
              </w:rPr>
              <w:t>Authoritative source statement</w:t>
            </w:r>
          </w:p>
        </w:tc>
        <w:tc>
          <w:tcPr>
            <w:tcW w:type="dxa" w:w="5112"/>
            <w:vAlign w:val="top"/>
          </w:tcPr>
          <w:p>
            <w:r>
              <w:rPr>
                <w:sz w:val="15"/>
              </w:rPr>
              <w:t>Secure development practices + attestation.</w:t>
            </w:r>
          </w:p>
        </w:tc>
      </w:tr>
      <w:tr>
        <w:tc>
          <w:tcPr>
            <w:tcW w:type="dxa" w:w="5112"/>
            <w:vAlign w:val="top"/>
          </w:tcPr>
          <w:p>
            <w:r>
              <w:rPr>
                <w:sz w:val="15"/>
              </w:rPr>
              <w:t>Pharmaceutical interpretation</w:t>
            </w:r>
          </w:p>
        </w:tc>
        <w:tc>
          <w:tcPr>
            <w:tcW w:type="dxa" w:w="5112"/>
            <w:vAlign w:val="top"/>
          </w:tcPr>
          <w:p>
            <w:r>
              <w:rPr>
                <w:sz w:val="15"/>
              </w:rPr>
              <w:t>Map legal, regulatory, privacy, resilience and sector obligations without treating GAISSF as a compliance guarantee.</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PHAR-THR-004, PHAR-THR-024, PHAR-THR-048, PHAR-THR-049</w:t>
            </w:r>
          </w:p>
        </w:tc>
      </w:tr>
      <w:tr>
        <w:tc>
          <w:tcPr>
            <w:tcW w:type="dxa" w:w="5112"/>
            <w:vAlign w:val="top"/>
          </w:tcPr>
          <w:p>
            <w:r>
              <w:rPr>
                <w:sz w:val="15"/>
              </w:rPr>
              <w:t>Mapped use cases</w:t>
            </w:r>
          </w:p>
        </w:tc>
        <w:tc>
          <w:tcPr>
            <w:tcW w:type="dxa" w:w="5112"/>
            <w:vAlign w:val="top"/>
          </w:tcPr>
          <w:p>
            <w:r>
              <w:rPr>
                <w:sz w:val="15"/>
              </w:rPr>
              <w:t>PHAR-UC-001, PHAR-UC-006, PHAR-UC-009, PHAR-UC-020, PHAR-UC-036</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D9-CTL-01 — PHYSICAL HARM BOUNDARY ENFORCEMENT</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D9: PHYSICAL AI SAFETY</w:t>
            </w:r>
          </w:p>
        </w:tc>
      </w:tr>
      <w:tr>
        <w:tc>
          <w:tcPr>
            <w:tcW w:type="dxa" w:w="5112"/>
            <w:vAlign w:val="top"/>
          </w:tcPr>
          <w:p>
            <w:r>
              <w:rPr>
                <w:sz w:val="15"/>
              </w:rPr>
              <w:t>Authoritative source statement</w:t>
            </w:r>
          </w:p>
        </w:tc>
        <w:tc>
          <w:tcPr>
            <w:tcW w:type="dxa" w:w="5112"/>
            <w:vAlign w:val="top"/>
          </w:tcPr>
          <w:p>
            <w:r>
              <w:rPr>
                <w:sz w:val="15"/>
              </w:rPr>
              <w:t>Independent safety monitor (hardware or DO-178C Level A / IEC 61508 SIL 3 certified software) running in parallel with AI inference. Safety monitor enforces: maximum force/velocity/temperature/current limits; geofencing for autonomous systems; exclusion zones; rate-of-change limits for safety-critical parameters. AI output gated through safety monitor — monitor vetoes any out-of-boundary command without AI system awareness.</w:t>
            </w:r>
          </w:p>
        </w:tc>
      </w:tr>
      <w:tr>
        <w:tc>
          <w:tcPr>
            <w:tcW w:type="dxa" w:w="5112"/>
            <w:vAlign w:val="top"/>
          </w:tcPr>
          <w:p>
            <w:r>
              <w:rPr>
                <w:sz w:val="15"/>
              </w:rPr>
              <w:t>Pharmaceutical interpretation</w:t>
            </w:r>
          </w:p>
        </w:tc>
        <w:tc>
          <w:tcPr>
            <w:tcW w:type="dxa" w:w="5112"/>
            <w:vAlign w:val="top"/>
          </w:tcPr>
          <w:p>
            <w:r>
              <w:rPr>
                <w:sz w:val="15"/>
              </w:rPr>
              <w:t>Apply cyber-physical safety controls where AI interacts with manufacturing equipment, laboratories, robotics, cold chain or other physical processes.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PHAR-THR-017, PHAR-THR-018, PHAR-THR-019, PHAR-THR-020, PHAR-THR-039, PHAR-THR-040</w:t>
            </w:r>
          </w:p>
        </w:tc>
      </w:tr>
      <w:tr>
        <w:tc>
          <w:tcPr>
            <w:tcW w:type="dxa" w:w="5112"/>
            <w:vAlign w:val="top"/>
          </w:tcPr>
          <w:p>
            <w:r>
              <w:rPr>
                <w:sz w:val="15"/>
              </w:rPr>
              <w:t>Mapped use cases</w:t>
            </w:r>
          </w:p>
        </w:tc>
        <w:tc>
          <w:tcPr>
            <w:tcW w:type="dxa" w:w="5112"/>
            <w:vAlign w:val="top"/>
          </w:tcPr>
          <w:p>
            <w:r>
              <w:rPr>
                <w:sz w:val="15"/>
              </w:rPr>
              <w:t>PHAR-UC-020, PHAR-UC-022, PHAR-UC-023, PHAR-UC-024, PHAR-UC-030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D9-CTL-02 — SAFE STATE AND GRACEFUL DEGRADATION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D9: PHYSICAL AI SAFETY</w:t>
            </w:r>
          </w:p>
        </w:tc>
      </w:tr>
      <w:tr>
        <w:tc>
          <w:tcPr>
            <w:tcW w:type="dxa" w:w="5112"/>
            <w:vAlign w:val="top"/>
          </w:tcPr>
          <w:p>
            <w:r>
              <w:rPr>
                <w:sz w:val="15"/>
              </w:rPr>
              <w:t>Authoritative source statement</w:t>
            </w:r>
          </w:p>
        </w:tc>
        <w:tc>
          <w:tcPr>
            <w:tcW w:type="dxa" w:w="5112"/>
            <w:vAlign w:val="top"/>
          </w:tcPr>
          <w:p>
            <w:r>
              <w:rPr>
                <w:sz w:val="15"/>
              </w:rPr>
              <w:t>For each AI-controlled system, document: safe state definition (autonomous vehicle: controlled stop; surgical robot: tool withdrawal; industrial arm: immediate stop and hold); transition time to safe state (must be within stopping distance/reaction time for physical context); trigger conditions for safe state entry; recovery procedure. Implement degraded mode ladder: Full AI control → AI-assisted human control → Manual-only → Safe state.</w:t>
            </w:r>
          </w:p>
        </w:tc>
      </w:tr>
      <w:tr>
        <w:tc>
          <w:tcPr>
            <w:tcW w:type="dxa" w:w="5112"/>
            <w:vAlign w:val="top"/>
          </w:tcPr>
          <w:p>
            <w:r>
              <w:rPr>
                <w:sz w:val="15"/>
              </w:rPr>
              <w:t>Pharmaceutical interpretation</w:t>
            </w:r>
          </w:p>
        </w:tc>
        <w:tc>
          <w:tcPr>
            <w:tcW w:type="dxa" w:w="5112"/>
            <w:vAlign w:val="top"/>
          </w:tcPr>
          <w:p>
            <w:r>
              <w:rPr>
                <w:sz w:val="15"/>
              </w:rPr>
              <w:t>Apply cyber-physical safety controls where AI interacts with manufacturing equipment, laboratories, robotics, cold chain or other physical processes.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PHAR-THR-017, PHAR-THR-018, PHAR-THR-019, PHAR-THR-020, PHAR-THR-039, PHAR-THR-040</w:t>
            </w:r>
          </w:p>
        </w:tc>
      </w:tr>
      <w:tr>
        <w:tc>
          <w:tcPr>
            <w:tcW w:type="dxa" w:w="5112"/>
            <w:vAlign w:val="top"/>
          </w:tcPr>
          <w:p>
            <w:r>
              <w:rPr>
                <w:sz w:val="15"/>
              </w:rPr>
              <w:t>Mapped use cases</w:t>
            </w:r>
          </w:p>
        </w:tc>
        <w:tc>
          <w:tcPr>
            <w:tcW w:type="dxa" w:w="5112"/>
            <w:vAlign w:val="top"/>
          </w:tcPr>
          <w:p>
            <w:r>
              <w:rPr>
                <w:sz w:val="15"/>
              </w:rPr>
              <w:t>PHAR-UC-020, PHAR-UC-022, PHAR-UC-023, PHAR-UC-024, PHAR-UC-030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D9-CTL-03 — HUMAN OVERRIDE AND EMERGENCY STOP</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D9: PHYSICAL AI SAFETY</w:t>
            </w:r>
          </w:p>
        </w:tc>
      </w:tr>
      <w:tr>
        <w:tc>
          <w:tcPr>
            <w:tcW w:type="dxa" w:w="5112"/>
            <w:vAlign w:val="top"/>
          </w:tcPr>
          <w:p>
            <w:r>
              <w:rPr>
                <w:sz w:val="15"/>
              </w:rPr>
              <w:t>Authoritative source statement</w:t>
            </w:r>
          </w:p>
        </w:tc>
        <w:tc>
          <w:tcPr>
            <w:tcW w:type="dxa" w:w="5112"/>
            <w:vAlign w:val="top"/>
          </w:tcPr>
          <w:p>
            <w:r>
              <w:rPr>
                <w:sz w:val="15"/>
              </w:rPr>
              <w:t>Hardware emergency stop: physical E-stop accessible without any software mediation. AI system must not be able to disable, delay, or circumvent E-stop. Software override: human operator interface that immediately transfers control to safe state. Override must be possible when: AI communication is disrupted; AI system is under adversarial attack; AI model is producing anomalous outputs. Override authority must be unconditional — no AI reasoning, confidence scoring, or approval process may delay or prevent override activation.</w:t>
            </w:r>
          </w:p>
        </w:tc>
      </w:tr>
      <w:tr>
        <w:tc>
          <w:tcPr>
            <w:tcW w:type="dxa" w:w="5112"/>
            <w:vAlign w:val="top"/>
          </w:tcPr>
          <w:p>
            <w:r>
              <w:rPr>
                <w:sz w:val="15"/>
              </w:rPr>
              <w:t>Pharmaceutical interpretation</w:t>
            </w:r>
          </w:p>
        </w:tc>
        <w:tc>
          <w:tcPr>
            <w:tcW w:type="dxa" w:w="5112"/>
            <w:vAlign w:val="top"/>
          </w:tcPr>
          <w:p>
            <w:r>
              <w:rPr>
                <w:sz w:val="15"/>
              </w:rPr>
              <w:t>Apply cyber-physical safety controls where AI interacts with manufacturing equipment, laboratories, robotics, cold chain or other physical processes.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PHAR-THR-017, PHAR-THR-018, PHAR-THR-019, PHAR-THR-020, PHAR-THR-039, PHAR-THR-040</w:t>
            </w:r>
          </w:p>
        </w:tc>
      </w:tr>
      <w:tr>
        <w:tc>
          <w:tcPr>
            <w:tcW w:type="dxa" w:w="5112"/>
            <w:vAlign w:val="top"/>
          </w:tcPr>
          <w:p>
            <w:r>
              <w:rPr>
                <w:sz w:val="15"/>
              </w:rPr>
              <w:t>Mapped use cases</w:t>
            </w:r>
          </w:p>
        </w:tc>
        <w:tc>
          <w:tcPr>
            <w:tcW w:type="dxa" w:w="5112"/>
            <w:vAlign w:val="top"/>
          </w:tcPr>
          <w:p>
            <w:r>
              <w:rPr>
                <w:sz w:val="15"/>
              </w:rPr>
              <w:t>PHAR-UC-020, PHAR-UC-022, PHAR-UC-023, PHAR-UC-024, PHAR-UC-030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D9-CTL-04 — CYBER-PHYSICAL ATTACK DETECTION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D9: PHYSICAL AI SAFETY</w:t>
            </w:r>
          </w:p>
        </w:tc>
      </w:tr>
      <w:tr>
        <w:tc>
          <w:tcPr>
            <w:tcW w:type="dxa" w:w="5112"/>
            <w:vAlign w:val="top"/>
          </w:tcPr>
          <w:p>
            <w:r>
              <w:rPr>
                <w:sz w:val="15"/>
              </w:rPr>
              <w:t>Authoritative source statement</w:t>
            </w:r>
          </w:p>
        </w:tc>
        <w:tc>
          <w:tcPr>
            <w:tcW w:type="dxa" w:w="5112"/>
            <w:vAlign w:val="top"/>
          </w:tcPr>
          <w:p>
            <w:r>
              <w:rPr>
                <w:sz w:val="15"/>
              </w:rPr>
              <w:t>Three-layer anomaly detection: (1) Sensor layer — statistical validation of sensor readings against physical models; flag readings deviating &gt;3σ from model prediction; cross-validate against redundant sensor channels. (2) Actuator layer — monitor command streams for sequences inconsistent with operating context; flag commands outside physically feasible envelope. (3) AI inference layer — apply GAISSF® D2-CTL-01 (Prompt Injection Detection) equivalent for physical AI inputs; monitor input feature distributions for adversarial perturbation signatures. All detections trigger immediate safe state entry (D9-CTL-02) and incident record with root_cause_category = Adversarial_Attack, root_cause_specific_type = Cyber_Physical_Attack.</w:t>
            </w:r>
          </w:p>
        </w:tc>
      </w:tr>
      <w:tr>
        <w:tc>
          <w:tcPr>
            <w:tcW w:type="dxa" w:w="5112"/>
            <w:vAlign w:val="top"/>
          </w:tcPr>
          <w:p>
            <w:r>
              <w:rPr>
                <w:sz w:val="15"/>
              </w:rPr>
              <w:t>Pharmaceutical interpretation</w:t>
            </w:r>
          </w:p>
        </w:tc>
        <w:tc>
          <w:tcPr>
            <w:tcW w:type="dxa" w:w="5112"/>
            <w:vAlign w:val="top"/>
          </w:tcPr>
          <w:p>
            <w:r>
              <w:rPr>
                <w:sz w:val="15"/>
              </w:rPr>
              <w:t>Apply cyber-physical safety controls where AI interacts with manufacturing equipment, laboratories, robotics, cold chain or other physical processes.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PHAR-THR-017, PHAR-THR-018, PHAR-THR-019, PHAR-THR-020, PHAR-THR-039, PHAR-THR-040</w:t>
            </w:r>
          </w:p>
        </w:tc>
      </w:tr>
      <w:tr>
        <w:tc>
          <w:tcPr>
            <w:tcW w:type="dxa" w:w="5112"/>
            <w:vAlign w:val="top"/>
          </w:tcPr>
          <w:p>
            <w:r>
              <w:rPr>
                <w:sz w:val="15"/>
              </w:rPr>
              <w:t>Mapped use cases</w:t>
            </w:r>
          </w:p>
        </w:tc>
        <w:tc>
          <w:tcPr>
            <w:tcW w:type="dxa" w:w="5112"/>
            <w:vAlign w:val="top"/>
          </w:tcPr>
          <w:p>
            <w:r>
              <w:rPr>
                <w:sz w:val="15"/>
              </w:rPr>
              <w:t>PHAR-UC-020, PHAR-UC-022, PHAR-UC-023, PHAR-UC-024, PHAR-UC-030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D9-CTL-05 — PHYSICAL ENVIRONMENT INTEGRITY MONITORING</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D9: PHYSICAL AI SAFETY</w:t>
            </w:r>
          </w:p>
        </w:tc>
      </w:tr>
      <w:tr>
        <w:tc>
          <w:tcPr>
            <w:tcW w:type="dxa" w:w="5112"/>
            <w:vAlign w:val="top"/>
          </w:tcPr>
          <w:p>
            <w:r>
              <w:rPr>
                <w:sz w:val="15"/>
              </w:rPr>
              <w:t>Authoritative source statement</w:t>
            </w:r>
          </w:p>
        </w:tc>
        <w:tc>
          <w:tcPr>
            <w:tcW w:type="dxa" w:w="5112"/>
            <w:vAlign w:val="top"/>
          </w:tcPr>
          <w:p>
            <w:r>
              <w:rPr>
                <w:sz w:val="15"/>
              </w:rPr>
              <w:t>Sensor integrity monitoring covering: (1) Hardware health — sensor self-test results, calibration drift indicators, environmental exposure limits. Alert when sensor confidence falls below threshold. (2) Data plausibility — real-time statistical validation against physical laws, historical baselines, and redundant sensor cross-validation. (3) Degraded sensor handling — explicit policy for each sensor failure mode: degrade gracefully (reduce AI authority, increase human oversight) or enter safe state. (4) Calibration management — automated alert when calibration certificates expire; block AI system from operational use with expired sensor calibration.</w:t>
            </w:r>
          </w:p>
        </w:tc>
      </w:tr>
      <w:tr>
        <w:tc>
          <w:tcPr>
            <w:tcW w:type="dxa" w:w="5112"/>
            <w:vAlign w:val="top"/>
          </w:tcPr>
          <w:p>
            <w:r>
              <w:rPr>
                <w:sz w:val="15"/>
              </w:rPr>
              <w:t>Pharmaceutical interpretation</w:t>
            </w:r>
          </w:p>
        </w:tc>
        <w:tc>
          <w:tcPr>
            <w:tcW w:type="dxa" w:w="5112"/>
            <w:vAlign w:val="top"/>
          </w:tcPr>
          <w:p>
            <w:r>
              <w:rPr>
                <w:sz w:val="15"/>
              </w:rPr>
              <w:t>Apply cyber-physical safety controls where AI interacts with manufacturing equipment, laboratories, robotics, cold chain or other physical processes.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PHAR-THR-017, PHAR-THR-018, PHAR-THR-019, PHAR-THR-020, PHAR-THR-039, PHAR-THR-040</w:t>
            </w:r>
          </w:p>
        </w:tc>
      </w:tr>
      <w:tr>
        <w:tc>
          <w:tcPr>
            <w:tcW w:type="dxa" w:w="5112"/>
            <w:vAlign w:val="top"/>
          </w:tcPr>
          <w:p>
            <w:r>
              <w:rPr>
                <w:sz w:val="15"/>
              </w:rPr>
              <w:t>Mapped use cases</w:t>
            </w:r>
          </w:p>
        </w:tc>
        <w:tc>
          <w:tcPr>
            <w:tcW w:type="dxa" w:w="5112"/>
            <w:vAlign w:val="top"/>
          </w:tcPr>
          <w:p>
            <w:r>
              <w:rPr>
                <w:sz w:val="15"/>
              </w:rPr>
              <w:t>PHAR-UC-020, PHAR-UC-022, PHAR-UC-023, PHAR-UC-024, PHAR-UC-030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D9-CTL-06 — ACTUATOR COMMAND VERIFICATION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D9: PHYSICAL AI SAFETY</w:t>
            </w:r>
          </w:p>
        </w:tc>
      </w:tr>
      <w:tr>
        <w:tc>
          <w:tcPr>
            <w:tcW w:type="dxa" w:w="5112"/>
            <w:vAlign w:val="top"/>
          </w:tcPr>
          <w:p>
            <w:r>
              <w:rPr>
                <w:sz w:val="15"/>
              </w:rPr>
              <w:t>Authoritative source statement</w:t>
            </w:r>
          </w:p>
        </w:tc>
        <w:tc>
          <w:tcPr>
            <w:tcW w:type="dxa" w:w="5112"/>
            <w:vAlign w:val="top"/>
          </w:tcPr>
          <w:p>
            <w:r>
              <w:rPr>
                <w:sz w:val="15"/>
              </w:rPr>
              <w:t>Pre-execution verification gate on every actuator command: (1) Physical bounds check — command value within safe operating envelope for current system state. (2) Sequence plausibility check — command consistent with prior sequence; flag implausible state transitions for human review. (3) Rate-of-change check — rate of change does not exceed safe limits (acceleration rate, force application rate, temperature change rate). (4) Dual-approval for irreversible actions — actuator commands causing irreversible physical changes (cutting, welding, demolition, high-energy discharge) require hardware interlock confirmation. Verification gate implemented in IEC 61508 SIL 3 certified software or hardware logic independent of AI model.</w:t>
            </w:r>
          </w:p>
        </w:tc>
      </w:tr>
      <w:tr>
        <w:tc>
          <w:tcPr>
            <w:tcW w:type="dxa" w:w="5112"/>
            <w:vAlign w:val="top"/>
          </w:tcPr>
          <w:p>
            <w:r>
              <w:rPr>
                <w:sz w:val="15"/>
              </w:rPr>
              <w:t>Pharmaceutical interpretation</w:t>
            </w:r>
          </w:p>
        </w:tc>
        <w:tc>
          <w:tcPr>
            <w:tcW w:type="dxa" w:w="5112"/>
            <w:vAlign w:val="top"/>
          </w:tcPr>
          <w:p>
            <w:r>
              <w:rPr>
                <w:sz w:val="15"/>
              </w:rPr>
              <w:t>Apply cyber-physical safety controls where AI interacts with manufacturing equipment, laboratories, robotics, cold chain or other physical processes.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PHAR-THR-017, PHAR-THR-018, PHAR-THR-019, PHAR-THR-020, PHAR-THR-039, PHAR-THR-040</w:t>
            </w:r>
          </w:p>
        </w:tc>
      </w:tr>
      <w:tr>
        <w:tc>
          <w:tcPr>
            <w:tcW w:type="dxa" w:w="5112"/>
            <w:vAlign w:val="top"/>
          </w:tcPr>
          <w:p>
            <w:r>
              <w:rPr>
                <w:sz w:val="15"/>
              </w:rPr>
              <w:t>Mapped use cases</w:t>
            </w:r>
          </w:p>
        </w:tc>
        <w:tc>
          <w:tcPr>
            <w:tcW w:type="dxa" w:w="5112"/>
            <w:vAlign w:val="top"/>
          </w:tcPr>
          <w:p>
            <w:r>
              <w:rPr>
                <w:sz w:val="15"/>
              </w:rPr>
              <w:t>PHAR-UC-020, PHAR-UC-022, PHAR-UC-023, PHAR-UC-024, PHAR-UC-030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2"/>
      </w:pPr>
      <w:r>
        <w:t>D9-CTL-07 — PHYSICAL INCIDENT EVIDENCE PRESERVATION</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Element</w:t>
            </w:r>
          </w:p>
        </w:tc>
        <w:tc>
          <w:tcPr>
            <w:tcW w:type="dxa" w:w="5112"/>
            <w:shd w:fill="1F4E78"/>
          </w:tcPr>
          <w:p>
            <w:r>
              <w:rPr>
                <w:b/>
                <w:color w:val="FFFFFF"/>
                <w:sz w:val="16"/>
              </w:rPr>
              <w:t>Content</w:t>
            </w:r>
          </w:p>
        </w:tc>
      </w:tr>
      <w:tr>
        <w:tc>
          <w:tcPr>
            <w:tcW w:type="dxa" w:w="5112"/>
            <w:vAlign w:val="top"/>
          </w:tcPr>
          <w:p>
            <w:r>
              <w:rPr>
                <w:sz w:val="15"/>
              </w:rPr>
              <w:t>Domain</w:t>
            </w:r>
          </w:p>
        </w:tc>
        <w:tc>
          <w:tcPr>
            <w:tcW w:type="dxa" w:w="5112"/>
            <w:vAlign w:val="top"/>
          </w:tcPr>
          <w:p>
            <w:r>
              <w:rPr>
                <w:sz w:val="15"/>
              </w:rPr>
              <w:t>D9: PHYSICAL AI SAFETY</w:t>
            </w:r>
          </w:p>
        </w:tc>
      </w:tr>
      <w:tr>
        <w:tc>
          <w:tcPr>
            <w:tcW w:type="dxa" w:w="5112"/>
            <w:vAlign w:val="top"/>
          </w:tcPr>
          <w:p>
            <w:r>
              <w:rPr>
                <w:sz w:val="15"/>
              </w:rPr>
              <w:t>Authoritative source statement</w:t>
            </w:r>
          </w:p>
        </w:tc>
        <w:tc>
          <w:tcPr>
            <w:tcW w:type="dxa" w:w="5112"/>
            <w:vAlign w:val="top"/>
          </w:tcPr>
          <w:p>
            <w:r>
              <w:rPr>
                <w:sz w:val="15"/>
              </w:rPr>
              <w:t>(1) Continuous ring-buffer recording — minimum 60-second rolling buffer of: all sensor inputs (raw and processed); all AI model inputs and outputs; all actuator commands; all safety monitor decisions; all human override activations; system health telemetry. Safety-critical systems retain 300 seconds minimum. (2) Incident freeze — on any safety-relevant event, automatically freeze buffer and begin extended logging. Frozen buffer write-protected. (3) Cryptographic integrity — all records SHA-256 hashed and ECDSA signed at point of creation. For Optimized tier: CRYSTALS-Dilithium signing (post-quantum). (4) Regulatory retention — ICAO Annex 13: 5 years minimum; EU AI Act Art. 19: 10 years; DORA Art. 12: 5 years. (5) UAIF® integration — automatically populate UAIF® incident record from evidence package.</w:t>
            </w:r>
          </w:p>
        </w:tc>
      </w:tr>
      <w:tr>
        <w:tc>
          <w:tcPr>
            <w:tcW w:type="dxa" w:w="5112"/>
            <w:vAlign w:val="top"/>
          </w:tcPr>
          <w:p>
            <w:r>
              <w:rPr>
                <w:sz w:val="15"/>
              </w:rPr>
              <w:t>Pharmaceutical interpretation</w:t>
            </w:r>
          </w:p>
        </w:tc>
        <w:tc>
          <w:tcPr>
            <w:tcW w:type="dxa" w:w="5112"/>
            <w:vAlign w:val="top"/>
          </w:tcPr>
          <w:p>
            <w:r>
              <w:rPr>
                <w:sz w:val="15"/>
              </w:rPr>
              <w:t>Apply cyber-physical safety controls where AI interacts with manufacturing equipment, laboratories, robotics, cold chain or other physical processes.</w:t>
            </w:r>
          </w:p>
        </w:tc>
      </w:tr>
      <w:tr>
        <w:tc>
          <w:tcPr>
            <w:tcW w:type="dxa" w:w="5112"/>
            <w:vAlign w:val="top"/>
          </w:tcPr>
          <w:p>
            <w:r>
              <w:rPr>
                <w:sz w:val="15"/>
              </w:rPr>
              <w:t>Applicability</w:t>
            </w:r>
          </w:p>
        </w:tc>
        <w:tc>
          <w:tcPr>
            <w:tcW w:type="dxa" w:w="5112"/>
            <w:vAlign w:val="top"/>
          </w:tcPr>
          <w:p>
            <w:r>
              <w:rPr>
                <w:sz w:val="15"/>
              </w:rPr>
              <w:t>Apply based on intended use, GxP determination, criticality, data/record impact, autonomy and supplier dependency; document justified exclusions.</w:t>
            </w:r>
          </w:p>
        </w:tc>
      </w:tr>
      <w:tr>
        <w:tc>
          <w:tcPr>
            <w:tcW w:type="dxa" w:w="5112"/>
            <w:vAlign w:val="top"/>
          </w:tcPr>
          <w:p>
            <w:r>
              <w:rPr>
                <w:sz w:val="15"/>
              </w:rPr>
              <w:t>Recommended practices</w:t>
            </w:r>
          </w:p>
        </w:tc>
        <w:tc>
          <w:tcPr>
            <w:tcW w:type="dxa" w:w="5112"/>
            <w:vAlign w:val="top"/>
          </w:tcPr>
          <w:p>
            <w:r>
              <w:rPr>
                <w:sz w:val="15"/>
              </w:rPr>
              <w:t>Define an approved control design; assign accountable ownership; integrate with quality/change/incident processes; test operation and effectiveness; retain attributable evidence.</w:t>
            </w:r>
          </w:p>
        </w:tc>
      </w:tr>
      <w:tr>
        <w:tc>
          <w:tcPr>
            <w:tcW w:type="dxa" w:w="5112"/>
            <w:vAlign w:val="top"/>
          </w:tcPr>
          <w:p>
            <w:r>
              <w:rPr>
                <w:sz w:val="15"/>
              </w:rPr>
              <w:t>GxP and validation</w:t>
            </w:r>
          </w:p>
        </w:tc>
        <w:tc>
          <w:tcPr>
            <w:tcW w:type="dxa" w:w="5112"/>
            <w:vAlign w:val="top"/>
          </w:tcPr>
          <w:p>
            <w:r>
              <w:rPr>
                <w:sz w:val="15"/>
              </w:rPr>
              <w:t>Where GxP-relevant, preserve validated state, data integrity, traceability, change control, qualified review and reconstructability. Use intended-use and risk-based acceptance criteria; include representative normal, edge, adversarial and failure scenarios; re-assess after material change.</w:t>
            </w:r>
          </w:p>
        </w:tc>
      </w:tr>
      <w:tr>
        <w:tc>
          <w:tcPr>
            <w:tcW w:type="dxa" w:w="5112"/>
            <w:vAlign w:val="top"/>
          </w:tcPr>
          <w:p>
            <w:r>
              <w:rPr>
                <w:sz w:val="15"/>
              </w:rPr>
              <w:t>Safety, quality, clinical and PV</w:t>
            </w:r>
          </w:p>
        </w:tc>
        <w:tc>
          <w:tcPr>
            <w:tcW w:type="dxa" w:w="5112"/>
            <w:vAlign w:val="top"/>
          </w:tcPr>
          <w:p>
            <w:r>
              <w:rPr>
                <w:sz w:val="15"/>
              </w:rPr>
              <w:t>Escalate where failure could delay, suppress, distort or miscommunicate information material to participant or patient safety. Assess whether failure could affect specifications, manufacturing parameters, laboratory results, batch decisions, complaints, storage or distribution. Preserve protocol, eligibility, endpoint, data lineage, statistical and source-document integrity where applicable. Test omission, prioritisation, coding and signal-detection failure modes where safety workflows are in scope.</w:t>
            </w:r>
          </w:p>
        </w:tc>
      </w:tr>
      <w:tr>
        <w:tc>
          <w:tcPr>
            <w:tcW w:type="dxa" w:w="5112"/>
            <w:vAlign w:val="top"/>
          </w:tcPr>
          <w:p>
            <w:r>
              <w:rPr>
                <w:sz w:val="15"/>
              </w:rPr>
              <w:t>Data integrity</w:t>
            </w:r>
          </w:p>
        </w:tc>
        <w:tc>
          <w:tcPr>
            <w:tcW w:type="dxa" w:w="5112"/>
            <w:vAlign w:val="top"/>
          </w:tcPr>
          <w:p>
            <w:r>
              <w:rPr>
                <w:sz w:val="15"/>
              </w:rPr>
              <w:t>Maintain attributable, legible, contemporaneous, original/true-copy, accurate, complete, consistent, enduring and available records as applicable.</w:t>
            </w:r>
          </w:p>
        </w:tc>
      </w:tr>
      <w:tr>
        <w:tc>
          <w:tcPr>
            <w:tcW w:type="dxa" w:w="5112"/>
            <w:vAlign w:val="top"/>
          </w:tcPr>
          <w:p>
            <w:r>
              <w:rPr>
                <w:sz w:val="15"/>
              </w:rPr>
              <w:t>Third parties</w:t>
            </w:r>
          </w:p>
        </w:tc>
        <w:tc>
          <w:tcPr>
            <w:tcW w:type="dxa" w:w="5112"/>
            <w:vAlign w:val="top"/>
          </w:tcPr>
          <w:p>
            <w:r>
              <w:rPr>
                <w:sz w:val="15"/>
              </w:rPr>
              <w:t>Obtain model/data/service transparency sufficient for risk assessment, change notification, incident support, auditability, continuity and exit.</w:t>
            </w:r>
          </w:p>
        </w:tc>
      </w:tr>
      <w:tr>
        <w:tc>
          <w:tcPr>
            <w:tcW w:type="dxa" w:w="5112"/>
            <w:vAlign w:val="top"/>
          </w:tcPr>
          <w:p>
            <w:r>
              <w:rPr>
                <w:sz w:val="15"/>
              </w:rPr>
              <w:t>Illustrative evidence</w:t>
            </w:r>
          </w:p>
        </w:tc>
        <w:tc>
          <w:tcPr>
            <w:tcW w:type="dxa" w:w="5112"/>
            <w:vAlign w:val="top"/>
          </w:tcPr>
          <w:p>
            <w:r>
              <w:rPr>
                <w:sz w:val="15"/>
              </w:rPr>
              <w:t>Approved design; risk/GxP assessment; configuration; test results; model/data version records; access/audit logs; monitoring; review and change records. Examples are informative, not mandatory artifacts.</w:t>
            </w:r>
          </w:p>
        </w:tc>
      </w:tr>
      <w:tr>
        <w:tc>
          <w:tcPr>
            <w:tcW w:type="dxa" w:w="5112"/>
            <w:vAlign w:val="top"/>
          </w:tcPr>
          <w:p>
            <w:r>
              <w:rPr>
                <w:sz w:val="15"/>
              </w:rPr>
              <w:t>Assessment questions</w:t>
            </w:r>
          </w:p>
        </w:tc>
        <w:tc>
          <w:tcPr>
            <w:tcW w:type="dxa" w:w="5112"/>
            <w:vAlign w:val="top"/>
          </w:tcPr>
          <w:p>
            <w:r>
              <w:rPr>
                <w:sz w:val="15"/>
              </w:rPr>
              <w:t>Is scope approved? Is ownership clear? Can operation and effectiveness be evidenced? Are failures detected and escalated? Can affected decisions and records be reconstructed?</w:t>
            </w:r>
          </w:p>
        </w:tc>
      </w:tr>
      <w:tr>
        <w:tc>
          <w:tcPr>
            <w:tcW w:type="dxa" w:w="5112"/>
            <w:vAlign w:val="top"/>
          </w:tcPr>
          <w:p>
            <w:r>
              <w:rPr>
                <w:sz w:val="15"/>
              </w:rPr>
              <w:t>Mapped threats</w:t>
            </w:r>
          </w:p>
        </w:tc>
        <w:tc>
          <w:tcPr>
            <w:tcW w:type="dxa" w:w="5112"/>
            <w:vAlign w:val="top"/>
          </w:tcPr>
          <w:p>
            <w:r>
              <w:rPr>
                <w:sz w:val="15"/>
              </w:rPr>
              <w:t>PHAR-THR-017, PHAR-THR-018, PHAR-THR-019, PHAR-THR-020, PHAR-THR-039, PHAR-THR-040</w:t>
            </w:r>
          </w:p>
        </w:tc>
      </w:tr>
      <w:tr>
        <w:tc>
          <w:tcPr>
            <w:tcW w:type="dxa" w:w="5112"/>
            <w:vAlign w:val="top"/>
          </w:tcPr>
          <w:p>
            <w:r>
              <w:rPr>
                <w:sz w:val="15"/>
              </w:rPr>
              <w:t>Mapped use cases</w:t>
            </w:r>
          </w:p>
        </w:tc>
        <w:tc>
          <w:tcPr>
            <w:tcW w:type="dxa" w:w="5112"/>
            <w:vAlign w:val="top"/>
          </w:tcPr>
          <w:p>
            <w:r>
              <w:rPr>
                <w:sz w:val="15"/>
              </w:rPr>
              <w:t>PHAR-UC-020, PHAR-UC-022, PHAR-UC-023, PHAR-UC-024, PHAR-UC-030</w:t>
            </w:r>
          </w:p>
        </w:tc>
      </w:tr>
      <w:tr>
        <w:tc>
          <w:tcPr>
            <w:tcW w:type="dxa" w:w="5112"/>
            <w:vAlign w:val="top"/>
          </w:tcPr>
          <w:p>
            <w:r>
              <w:rPr>
                <w:sz w:val="15"/>
              </w:rPr>
              <w:t>Limitations and confidence</w:t>
            </w:r>
          </w:p>
        </w:tc>
        <w:tc>
          <w:tcPr>
            <w:tcW w:type="dxa" w:w="5112"/>
            <w:vAlign w:val="top"/>
          </w:tcPr>
          <w:p>
            <w:r>
              <w:rPr>
                <w:sz w:val="15"/>
              </w:rPr>
              <w:t>Sector interpretation does not determine legal applicability, establish validation adequacy, or guarantee safety, quality, compliance or security. High for GAISSF source fidelity; Moderate for generic sector interpretation pending organization- and jurisdiction-specific review.</w:t>
            </w:r>
          </w:p>
        </w:tc>
      </w:tr>
    </w:tbl>
    <w:p/>
    <w:p>
      <w:pPr>
        <w:pStyle w:val="Heading1"/>
      </w:pPr>
      <w:r>
        <w:t>7. Lifecycle, Validation and Change Control</w:t>
      </w:r>
    </w:p>
    <w:p>
      <w:r>
        <w:t>Apply controlled gates from use-case intake through retirement. Define intended use, GxP and regulated-record impact, criticality, data/model provenance, threat model, test and acceptance criteria, approval, deployment, access, monitoring, drift, change control, periodic review, incident/deviation/CAPA and supplier exit. For probabilistic or externally updated systems, establish repeated-test methods, version pinning or change detection, traceable prompts/retrieval sources and reconstructable review evidence.</w:t>
      </w:r>
    </w:p>
    <w:p>
      <w:pPr>
        <w:pStyle w:val="Heading1"/>
      </w:pPr>
      <w:r>
        <w:t>8. Incident, Deviation, CAPA and Escalation</w:t>
      </w:r>
    </w:p>
    <w:p>
      <w:r>
        <w:t>Use coordinated triage across cybersecurity, AI failure, data integrity, quality, clinical, pharmacovigilance, privacy, supplier and continuity pathways. Preserve evidence, assess patient/product/batch/record impact, contain or suspend where needed, reconcile affected records, and obtain qualified legal/regulatory review before external reporting decisions.</w:t>
      </w:r>
    </w:p>
    <w:p>
      <w:pPr>
        <w:pStyle w:val="Heading1"/>
      </w:pPr>
      <w:r>
        <w:t>9. Evidence and Assessment</w:t>
      </w:r>
    </w:p>
    <w:p>
      <w:r>
        <w:t>Maintain attributable, time-bounded and scope-specific evidence including inventory, intended-use and GxP determinations, architecture, model/data records, supplier reviews, risk/threat assessments, validation/assurance, access/audit logs, changes, monitoring, human reviews, incidents, deviations, CAPAs and periodic reviews.</w:t>
      </w:r>
    </w:p>
    <w:p>
      <w:pPr>
        <w:pStyle w:val="Heading1"/>
      </w:pPr>
      <w:r>
        <w:t>10. Maturity Model</w:t>
      </w:r>
    </w:p>
    <w:tbl>
      <w:tblPr>
        <w:tblStyle w:val="TableGrid"/>
        <w:tblW w:type="auto" w:w="0"/>
        <w:jc w:val="center"/>
        <w:tblLook w:firstColumn="1" w:firstRow="1" w:lastColumn="0" w:lastRow="0" w:noHBand="0" w:noVBand="1" w:val="04A0"/>
      </w:tblPr>
      <w:tblGrid>
        <w:gridCol w:w="5112"/>
        <w:gridCol w:w="5112"/>
      </w:tblGrid>
      <w:tr>
        <w:tc>
          <w:tcPr>
            <w:tcW w:type="dxa" w:w="5112"/>
            <w:shd w:fill="1F4E78"/>
          </w:tcPr>
          <w:p>
            <w:r>
              <w:rPr>
                <w:b/>
                <w:color w:val="FFFFFF"/>
                <w:sz w:val="16"/>
              </w:rPr>
              <w:t>Level</w:t>
            </w:r>
          </w:p>
        </w:tc>
        <w:tc>
          <w:tcPr>
            <w:tcW w:type="dxa" w:w="5112"/>
            <w:shd w:fill="1F4E78"/>
          </w:tcPr>
          <w:p>
            <w:r>
              <w:rPr>
                <w:b/>
                <w:color w:val="FFFFFF"/>
                <w:sz w:val="16"/>
              </w:rPr>
              <w:t>Description</w:t>
            </w:r>
          </w:p>
        </w:tc>
      </w:tr>
      <w:tr>
        <w:tc>
          <w:tcPr>
            <w:tcW w:type="dxa" w:w="5112"/>
            <w:vAlign w:val="top"/>
          </w:tcPr>
          <w:p>
            <w:r>
              <w:rPr>
                <w:sz w:val="15"/>
              </w:rPr>
              <w:t>1 — Initial</w:t>
            </w:r>
          </w:p>
        </w:tc>
        <w:tc>
          <w:tcPr>
            <w:tcW w:type="dxa" w:w="5112"/>
            <w:vAlign w:val="top"/>
          </w:tcPr>
          <w:p>
            <w:r>
              <w:rPr>
                <w:sz w:val="15"/>
              </w:rPr>
              <w:t>Ad hoc and reactive.</w:t>
            </w:r>
          </w:p>
        </w:tc>
      </w:tr>
      <w:tr>
        <w:tc>
          <w:tcPr>
            <w:tcW w:type="dxa" w:w="5112"/>
            <w:vAlign w:val="top"/>
          </w:tcPr>
          <w:p>
            <w:r>
              <w:rPr>
                <w:sz w:val="15"/>
              </w:rPr>
              <w:t>2 — Repeatable</w:t>
            </w:r>
          </w:p>
        </w:tc>
        <w:tc>
          <w:tcPr>
            <w:tcW w:type="dxa" w:w="5112"/>
            <w:vAlign w:val="top"/>
          </w:tcPr>
          <w:p>
            <w:r>
              <w:rPr>
                <w:sz w:val="15"/>
              </w:rPr>
              <w:t>Documented minimum process.</w:t>
            </w:r>
          </w:p>
        </w:tc>
      </w:tr>
      <w:tr>
        <w:tc>
          <w:tcPr>
            <w:tcW w:type="dxa" w:w="5112"/>
            <w:vAlign w:val="top"/>
          </w:tcPr>
          <w:p>
            <w:r>
              <w:rPr>
                <w:sz w:val="15"/>
              </w:rPr>
              <w:t>3 — Defined</w:t>
            </w:r>
          </w:p>
        </w:tc>
        <w:tc>
          <w:tcPr>
            <w:tcW w:type="dxa" w:w="5112"/>
            <w:vAlign w:val="top"/>
          </w:tcPr>
          <w:p>
            <w:r>
              <w:rPr>
                <w:sz w:val="15"/>
              </w:rPr>
              <w:t>Integrated quality, security, validation and supplier governance.</w:t>
            </w:r>
          </w:p>
        </w:tc>
      </w:tr>
      <w:tr>
        <w:tc>
          <w:tcPr>
            <w:tcW w:type="dxa" w:w="5112"/>
            <w:vAlign w:val="top"/>
          </w:tcPr>
          <w:p>
            <w:r>
              <w:rPr>
                <w:sz w:val="15"/>
              </w:rPr>
              <w:t>4 — Managed</w:t>
            </w:r>
          </w:p>
        </w:tc>
        <w:tc>
          <w:tcPr>
            <w:tcW w:type="dxa" w:w="5112"/>
            <w:vAlign w:val="top"/>
          </w:tcPr>
          <w:p>
            <w:r>
              <w:rPr>
                <w:sz w:val="15"/>
              </w:rPr>
              <w:t>Measured effectiveness and residual risk.</w:t>
            </w:r>
          </w:p>
        </w:tc>
      </w:tr>
      <w:tr>
        <w:tc>
          <w:tcPr>
            <w:tcW w:type="dxa" w:w="5112"/>
            <w:vAlign w:val="top"/>
          </w:tcPr>
          <w:p>
            <w:r>
              <w:rPr>
                <w:sz w:val="15"/>
              </w:rPr>
              <w:t>5 — Adaptive</w:t>
            </w:r>
          </w:p>
        </w:tc>
        <w:tc>
          <w:tcPr>
            <w:tcW w:type="dxa" w:w="5112"/>
            <w:vAlign w:val="top"/>
          </w:tcPr>
          <w:p>
            <w:r>
              <w:rPr>
                <w:sz w:val="15"/>
              </w:rPr>
              <w:t>Controlled continuous assurance and improvement.</w:t>
            </w:r>
          </w:p>
        </w:tc>
      </w:tr>
    </w:tbl>
    <w:p/>
    <w:p>
      <w:pPr>
        <w:pStyle w:val="Heading1"/>
      </w:pPr>
      <w:r>
        <w:t>11. Implementation Roadmap</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F4E78"/>
          </w:tcPr>
          <w:p>
            <w:r>
              <w:rPr>
                <w:b/>
                <w:color w:val="FFFFFF"/>
                <w:sz w:val="16"/>
              </w:rPr>
              <w:t>Period</w:t>
            </w:r>
          </w:p>
        </w:tc>
        <w:tc>
          <w:tcPr>
            <w:tcW w:type="dxa" w:w="3408"/>
            <w:shd w:fill="1F4E78"/>
          </w:tcPr>
          <w:p>
            <w:r>
              <w:rPr>
                <w:b/>
                <w:color w:val="FFFFFF"/>
                <w:sz w:val="16"/>
              </w:rPr>
              <w:t>Priority actions</w:t>
            </w:r>
          </w:p>
        </w:tc>
        <w:tc>
          <w:tcPr>
            <w:tcW w:type="dxa" w:w="3408"/>
            <w:shd w:fill="1F4E78"/>
          </w:tcPr>
          <w:p>
            <w:r>
              <w:rPr>
                <w:b/>
                <w:color w:val="FFFFFF"/>
                <w:sz w:val="16"/>
              </w:rPr>
              <w:t>Completion evidence</w:t>
            </w:r>
          </w:p>
        </w:tc>
      </w:tr>
      <w:tr>
        <w:tc>
          <w:tcPr>
            <w:tcW w:type="dxa" w:w="3408"/>
            <w:vAlign w:val="top"/>
          </w:tcPr>
          <w:p>
            <w:r>
              <w:rPr>
                <w:sz w:val="15"/>
              </w:rPr>
              <w:t>First 30 days</w:t>
            </w:r>
          </w:p>
        </w:tc>
        <w:tc>
          <w:tcPr>
            <w:tcW w:type="dxa" w:w="3408"/>
            <w:vAlign w:val="top"/>
          </w:tcPr>
          <w:p>
            <w:r>
              <w:rPr>
                <w:sz w:val="15"/>
              </w:rPr>
              <w:t>Inventory, restrict unapproved regulated use, identify Tier 3/4, assign owners and escalation.</w:t>
            </w:r>
          </w:p>
        </w:tc>
        <w:tc>
          <w:tcPr>
            <w:tcW w:type="dxa" w:w="3408"/>
            <w:vAlign w:val="top"/>
          </w:tcPr>
          <w:p>
            <w:r>
              <w:rPr>
                <w:sz w:val="15"/>
              </w:rPr>
              <w:t>Approved inventory and ownership/risk record.</w:t>
            </w:r>
          </w:p>
        </w:tc>
      </w:tr>
      <w:tr>
        <w:tc>
          <w:tcPr>
            <w:tcW w:type="dxa" w:w="3408"/>
            <w:vAlign w:val="top"/>
          </w:tcPr>
          <w:p>
            <w:r>
              <w:rPr>
                <w:sz w:val="15"/>
              </w:rPr>
              <w:t>Days 31–90</w:t>
            </w:r>
          </w:p>
        </w:tc>
        <w:tc>
          <w:tcPr>
            <w:tcW w:type="dxa" w:w="3408"/>
            <w:vAlign w:val="top"/>
          </w:tcPr>
          <w:p>
            <w:r>
              <w:rPr>
                <w:sz w:val="15"/>
              </w:rPr>
              <w:t>GxP/criticality determinations, supplier reviews, review rules, change and incident/deviation linkage, priority testing.</w:t>
            </w:r>
          </w:p>
        </w:tc>
        <w:tc>
          <w:tcPr>
            <w:tcW w:type="dxa" w:w="3408"/>
            <w:vAlign w:val="top"/>
          </w:tcPr>
          <w:p>
            <w:r>
              <w:rPr>
                <w:sz w:val="15"/>
              </w:rPr>
              <w:t>Signed determinations, procedures and test evidence.</w:t>
            </w:r>
          </w:p>
        </w:tc>
      </w:tr>
      <w:tr>
        <w:tc>
          <w:tcPr>
            <w:tcW w:type="dxa" w:w="3408"/>
            <w:vAlign w:val="top"/>
          </w:tcPr>
          <w:p>
            <w:r>
              <w:rPr>
                <w:sz w:val="15"/>
              </w:rPr>
              <w:t>Months 4–6</w:t>
            </w:r>
          </w:p>
        </w:tc>
        <w:tc>
          <w:tcPr>
            <w:tcW w:type="dxa" w:w="3408"/>
            <w:vAlign w:val="top"/>
          </w:tcPr>
          <w:p>
            <w:r>
              <w:rPr>
                <w:sz w:val="15"/>
              </w:rPr>
              <w:t>Expand validation, monitoring, traceability, resilience and training.</w:t>
            </w:r>
          </w:p>
        </w:tc>
        <w:tc>
          <w:tcPr>
            <w:tcW w:type="dxa" w:w="3408"/>
            <w:vAlign w:val="top"/>
          </w:tcPr>
          <w:p>
            <w:r>
              <w:rPr>
                <w:sz w:val="15"/>
              </w:rPr>
              <w:t>Assurance records, dashboards and closed high-risk findings.</w:t>
            </w:r>
          </w:p>
        </w:tc>
      </w:tr>
      <w:tr>
        <w:tc>
          <w:tcPr>
            <w:tcW w:type="dxa" w:w="3408"/>
            <w:vAlign w:val="top"/>
          </w:tcPr>
          <w:p>
            <w:r>
              <w:rPr>
                <w:sz w:val="15"/>
              </w:rPr>
              <w:t>Months 7–12</w:t>
            </w:r>
          </w:p>
        </w:tc>
        <w:tc>
          <w:tcPr>
            <w:tcW w:type="dxa" w:w="3408"/>
            <w:vAlign w:val="top"/>
          </w:tcPr>
          <w:p>
            <w:r>
              <w:rPr>
                <w:sz w:val="15"/>
              </w:rPr>
              <w:t>Institutionalize periodic review, metrics, continuous assurance and cross-site consistency.</w:t>
            </w:r>
          </w:p>
        </w:tc>
        <w:tc>
          <w:tcPr>
            <w:tcW w:type="dxa" w:w="3408"/>
            <w:vAlign w:val="top"/>
          </w:tcPr>
          <w:p>
            <w:r>
              <w:rPr>
                <w:sz w:val="15"/>
              </w:rPr>
              <w:t>Management review and repeat assessment.</w:t>
            </w:r>
          </w:p>
        </w:tc>
      </w:tr>
    </w:tbl>
    <w:p/>
    <w:p>
      <w:pPr>
        <w:pStyle w:val="Heading1"/>
      </w:pPr>
      <w:r>
        <w:t>12. Notably Absent</w:t>
      </w:r>
    </w:p>
    <w:p>
      <w:pPr>
        <w:pStyle w:val="ListBullet"/>
      </w:pPr>
      <w:r>
        <w:rPr>
          <w:b/>
        </w:rPr>
        <w:t xml:space="preserve">No reliable public evidence was identified that autonomous AI compromise of pharmaceutical manufacturing is widespread. </w:t>
      </w:r>
      <w:r>
        <w:t>Treat as a plausible high-impact scenario, not a prevalence claim. Confidence: Moderate; public reporting is incomplete.</w:t>
      </w:r>
    </w:p>
    <w:p>
      <w:pPr>
        <w:pStyle w:val="ListBullet"/>
      </w:pPr>
      <w:r>
        <w:rPr>
          <w:b/>
        </w:rPr>
        <w:t xml:space="preserve">No claim is made that malicious manipulation of a pharmaceutical AI system has directly caused confirmed patient harm at scale. </w:t>
      </w:r>
      <w:r>
        <w:t>Do not infer occurrence from threat plausibility. Confidence: Moderate; confidential incidents may not be public.</w:t>
      </w:r>
    </w:p>
    <w:p>
      <w:pPr>
        <w:pStyle w:val="ListBullet"/>
      </w:pPr>
      <w:r>
        <w:rPr>
          <w:b/>
        </w:rPr>
        <w:t xml:space="preserve">No evidence supports routine regulator acceptance of fully autonomous regulated decisions without accountable human and organizational controls. </w:t>
      </w:r>
      <w:r>
        <w:t>Default to explicit decision rights, qualified oversight and traceability. Confidence: High as a guide boundary; jurisdiction-specific review remains required.</w:t>
      </w:r>
    </w:p>
    <w:p>
      <w:pPr>
        <w:pStyle w:val="ListBullet"/>
      </w:pPr>
      <w:r>
        <w:rPr>
          <w:b/>
        </w:rPr>
        <w:t xml:space="preserve">No universal global regulatory classification or validation method for pharmaceutical AI is assumed. </w:t>
      </w:r>
      <w:r>
        <w:t>Determine requirements by jurisdiction, intended use and lifecycle stage. Confidence: High.</w:t>
      </w:r>
    </w:p>
    <w:p>
      <w:pPr>
        <w:pStyle w:val="ListBullet"/>
      </w:pPr>
      <w:r>
        <w:rPr>
          <w:b/>
        </w:rPr>
        <w:t xml:space="preserve">Public incident datasets do not provide complete coverage of AI failures in pharmaceutical operations. </w:t>
      </w:r>
      <w:r>
        <w:t>Frequency estimates are not supplied. Confidence: High.</w:t>
      </w:r>
    </w:p>
    <w:p>
      <w:pPr>
        <w:pStyle w:val="ListBullet"/>
      </w:pPr>
      <w:r>
        <w:rPr>
          <w:b/>
        </w:rPr>
        <w:t xml:space="preserve">Conventional cybersecurity controls alone are not shown to be sufficient for GxP-relevant AI systems. </w:t>
      </w:r>
      <w:r>
        <w:t>Integrate quality, validation, data integrity, human oversight and regulated escalation. Confidence: High as an implementation principle.</w:t>
      </w:r>
    </w:p>
    <w:p>
      <w:pPr>
        <w:pStyle w:val="ListBullet"/>
      </w:pPr>
      <w:r>
        <w:rPr>
          <w:b/>
        </w:rPr>
        <w:t xml:space="preserve">Model accuracy alone is not treated as evidence of clinical, safety, quality or regulatory fitness. </w:t>
      </w:r>
      <w:r>
        <w:t>Assess intended use, data, robustness, security, human factors, traceability and lifecycle control. Confidence: High.</w:t>
      </w:r>
    </w:p>
    <w:p>
      <w:pPr>
        <w:pStyle w:val="ListBullet"/>
      </w:pPr>
      <w:r>
        <w:rPr>
          <w:b/>
        </w:rPr>
        <w:t xml:space="preserve">The guide does not establish that every listed threat has occurred. </w:t>
      </w:r>
      <w:r>
        <w:t>Threat entries are explicitly classified as scenarios unless confirmed evidence is cited. Confidence: High.</w:t>
      </w:r>
    </w:p>
    <w:p>
      <w:pPr>
        <w:pStyle w:val="Heading1"/>
      </w:pPr>
      <w:r>
        <w:t>13. External Reference Register</w:t>
      </w:r>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045"/>
            <w:shd w:fill="1F4E78"/>
          </w:tcPr>
          <w:p>
            <w:r>
              <w:rPr>
                <w:b/>
                <w:color w:val="FFFFFF"/>
                <w:sz w:val="16"/>
              </w:rPr>
              <w:t>ID</w:t>
            </w:r>
          </w:p>
        </w:tc>
        <w:tc>
          <w:tcPr>
            <w:tcW w:type="dxa" w:w="2045"/>
            <w:shd w:fill="1F4E78"/>
          </w:tcPr>
          <w:p>
            <w:r>
              <w:rPr>
                <w:b/>
                <w:color w:val="FFFFFF"/>
                <w:sz w:val="16"/>
              </w:rPr>
              <w:t>Issuer / title</w:t>
            </w:r>
          </w:p>
        </w:tc>
        <w:tc>
          <w:tcPr>
            <w:tcW w:type="dxa" w:w="2045"/>
            <w:shd w:fill="1F4E78"/>
          </w:tcPr>
          <w:p>
            <w:r>
              <w:rPr>
                <w:b/>
                <w:color w:val="FFFFFF"/>
                <w:sz w:val="16"/>
              </w:rPr>
              <w:t>Status</w:t>
            </w:r>
          </w:p>
        </w:tc>
        <w:tc>
          <w:tcPr>
            <w:tcW w:type="dxa" w:w="2045"/>
            <w:shd w:fill="1F4E78"/>
          </w:tcPr>
          <w:p>
            <w:r>
              <w:rPr>
                <w:b/>
                <w:color w:val="FFFFFF"/>
                <w:sz w:val="16"/>
              </w:rPr>
              <w:t>Scope limitation</w:t>
            </w:r>
          </w:p>
        </w:tc>
        <w:tc>
          <w:tcPr>
            <w:tcW w:type="dxa" w:w="2045"/>
            <w:shd w:fill="1F4E78"/>
          </w:tcPr>
          <w:p>
            <w:r>
              <w:rPr>
                <w:b/>
                <w:color w:val="FFFFFF"/>
                <w:sz w:val="16"/>
              </w:rPr>
              <w:t>Official URL</w:t>
            </w:r>
          </w:p>
        </w:tc>
      </w:tr>
      <w:tr>
        <w:tc>
          <w:tcPr>
            <w:tcW w:type="dxa" w:w="2045"/>
            <w:vAlign w:val="top"/>
          </w:tcPr>
          <w:p>
            <w:r>
              <w:rPr>
                <w:sz w:val="15"/>
              </w:rPr>
              <w:t>SRC-001</w:t>
            </w:r>
          </w:p>
        </w:tc>
        <w:tc>
          <w:tcPr>
            <w:tcW w:type="dxa" w:w="2045"/>
            <w:vAlign w:val="top"/>
          </w:tcPr>
          <w:p>
            <w:r>
              <w:rPr>
                <w:sz w:val="15"/>
              </w:rPr>
              <w:t>US Food and Drug Administration — Guiding Principles of Good AI Practice in Drug Development</w:t>
            </w:r>
          </w:p>
        </w:tc>
        <w:tc>
          <w:tcPr>
            <w:tcW w:type="dxa" w:w="2045"/>
            <w:vAlign w:val="top"/>
          </w:tcPr>
          <w:p>
            <w:r>
              <w:rPr>
                <w:sz w:val="15"/>
              </w:rPr>
              <w:t>2026; Regulatory principles / non-binding context</w:t>
            </w:r>
          </w:p>
        </w:tc>
        <w:tc>
          <w:tcPr>
            <w:tcW w:type="dxa" w:w="2045"/>
            <w:vAlign w:val="top"/>
          </w:tcPr>
          <w:p>
            <w:r>
              <w:rPr>
                <w:sz w:val="15"/>
              </w:rPr>
              <w:t>Does not itself establish universal validation or compliance requirements.</w:t>
            </w:r>
          </w:p>
        </w:tc>
        <w:tc>
          <w:tcPr>
            <w:tcW w:type="dxa" w:w="2045"/>
            <w:vAlign w:val="top"/>
          </w:tcPr>
          <w:p>
            <w:r>
              <w:rPr>
                <w:sz w:val="15"/>
              </w:rPr>
              <w:t>https://www.fda.gov/about-fda/artificial-intelligence-drug-development/guiding-principles-good-ai-practice-drug-development</w:t>
            </w:r>
          </w:p>
        </w:tc>
      </w:tr>
      <w:tr>
        <w:tc>
          <w:tcPr>
            <w:tcW w:type="dxa" w:w="2045"/>
            <w:vAlign w:val="top"/>
          </w:tcPr>
          <w:p>
            <w:r>
              <w:rPr>
                <w:sz w:val="15"/>
              </w:rPr>
              <w:t>SRC-002</w:t>
            </w:r>
          </w:p>
        </w:tc>
        <w:tc>
          <w:tcPr>
            <w:tcW w:type="dxa" w:w="2045"/>
            <w:vAlign w:val="top"/>
          </w:tcPr>
          <w:p>
            <w:r>
              <w:rPr>
                <w:sz w:val="15"/>
              </w:rPr>
              <w:t>European Medicines Agency — Reflection paper on the use of AI in the medicinal product lifecycle</w:t>
            </w:r>
          </w:p>
        </w:tc>
        <w:tc>
          <w:tcPr>
            <w:tcW w:type="dxa" w:w="2045"/>
            <w:vAlign w:val="top"/>
          </w:tcPr>
          <w:p>
            <w:r>
              <w:rPr>
                <w:sz w:val="15"/>
              </w:rPr>
              <w:t>2024; Scientific reflection paper</w:t>
            </w:r>
          </w:p>
        </w:tc>
        <w:tc>
          <w:tcPr>
            <w:tcW w:type="dxa" w:w="2045"/>
            <w:vAlign w:val="top"/>
          </w:tcPr>
          <w:p>
            <w:r>
              <w:rPr>
                <w:sz w:val="15"/>
              </w:rPr>
              <w:t>Applicability depends on lifecycle stage, regulatory use and current agency position.</w:t>
            </w:r>
          </w:p>
        </w:tc>
        <w:tc>
          <w:tcPr>
            <w:tcW w:type="dxa" w:w="2045"/>
            <w:vAlign w:val="top"/>
          </w:tcPr>
          <w:p>
            <w:r>
              <w:rPr>
                <w:sz w:val="15"/>
              </w:rPr>
              <w:t>https://www.ema.europa.eu/en/use-artificial-intelligence-ai-medicinal-product-lifecycle</w:t>
            </w:r>
          </w:p>
        </w:tc>
      </w:tr>
      <w:tr>
        <w:tc>
          <w:tcPr>
            <w:tcW w:type="dxa" w:w="2045"/>
            <w:vAlign w:val="top"/>
          </w:tcPr>
          <w:p>
            <w:r>
              <w:rPr>
                <w:sz w:val="15"/>
              </w:rPr>
              <w:t>SRC-003</w:t>
            </w:r>
          </w:p>
        </w:tc>
        <w:tc>
          <w:tcPr>
            <w:tcW w:type="dxa" w:w="2045"/>
            <w:vAlign w:val="top"/>
          </w:tcPr>
          <w:p>
            <w:r>
              <w:rPr>
                <w:sz w:val="15"/>
              </w:rPr>
              <w:t>US Food and Drug Administration — E6(R3) Good Clinical Practice (GCP)</w:t>
            </w:r>
          </w:p>
        </w:tc>
        <w:tc>
          <w:tcPr>
            <w:tcW w:type="dxa" w:w="2045"/>
            <w:vAlign w:val="top"/>
          </w:tcPr>
          <w:p>
            <w:r>
              <w:rPr>
                <w:sz w:val="15"/>
              </w:rPr>
              <w:t>2025; FDA guidance adopting ICH E6(R3)</w:t>
            </w:r>
          </w:p>
        </w:tc>
        <w:tc>
          <w:tcPr>
            <w:tcW w:type="dxa" w:w="2045"/>
            <w:vAlign w:val="top"/>
          </w:tcPr>
          <w:p>
            <w:r>
              <w:rPr>
                <w:sz w:val="15"/>
              </w:rPr>
              <w:t>Clinical-trial scope; regional implementation and annex status must be verified.</w:t>
            </w:r>
          </w:p>
        </w:tc>
        <w:tc>
          <w:tcPr>
            <w:tcW w:type="dxa" w:w="2045"/>
            <w:vAlign w:val="top"/>
          </w:tcPr>
          <w:p>
            <w:r>
              <w:rPr>
                <w:sz w:val="15"/>
              </w:rPr>
              <w:t>https://www.fda.gov/regulatory-information/search-fda-guidance-documents/e6r3-good-clinical-practice-gcp</w:t>
            </w:r>
          </w:p>
        </w:tc>
      </w:tr>
      <w:tr>
        <w:tc>
          <w:tcPr>
            <w:tcW w:type="dxa" w:w="2045"/>
            <w:vAlign w:val="top"/>
          </w:tcPr>
          <w:p>
            <w:r>
              <w:rPr>
                <w:sz w:val="15"/>
              </w:rPr>
              <w:t>SRC-004</w:t>
            </w:r>
          </w:p>
        </w:tc>
        <w:tc>
          <w:tcPr>
            <w:tcW w:type="dxa" w:w="2045"/>
            <w:vAlign w:val="top"/>
          </w:tcPr>
          <w:p>
            <w:r>
              <w:rPr>
                <w:sz w:val="15"/>
              </w:rPr>
              <w:t>European Commission — EudraLex Volume 4, Annex 11 - Computerised Systems</w:t>
            </w:r>
          </w:p>
        </w:tc>
        <w:tc>
          <w:tcPr>
            <w:tcW w:type="dxa" w:w="2045"/>
            <w:vAlign w:val="top"/>
          </w:tcPr>
          <w:p>
            <w:r>
              <w:rPr>
                <w:sz w:val="15"/>
              </w:rPr>
              <w:t>2011; EU GMP guidance</w:t>
            </w:r>
          </w:p>
        </w:tc>
        <w:tc>
          <w:tcPr>
            <w:tcW w:type="dxa" w:w="2045"/>
            <w:vAlign w:val="top"/>
          </w:tcPr>
          <w:p>
            <w:r>
              <w:rPr>
                <w:sz w:val="15"/>
              </w:rPr>
              <w:t>Current revision, national interpretation and product/manufacturing applicability must be verified.</w:t>
            </w:r>
          </w:p>
        </w:tc>
        <w:tc>
          <w:tcPr>
            <w:tcW w:type="dxa" w:w="2045"/>
            <w:vAlign w:val="top"/>
          </w:tcPr>
          <w:p>
            <w:r>
              <w:rPr>
                <w:sz w:val="15"/>
              </w:rPr>
              <w:t>https://health.ec.europa.eu/medicinal-products/eudralex/eudralex-volume-4_en</w:t>
            </w:r>
          </w:p>
        </w:tc>
      </w:tr>
      <w:tr>
        <w:tc>
          <w:tcPr>
            <w:tcW w:type="dxa" w:w="2045"/>
            <w:vAlign w:val="top"/>
          </w:tcPr>
          <w:p>
            <w:r>
              <w:rPr>
                <w:sz w:val="15"/>
              </w:rPr>
              <w:t>SRC-005</w:t>
            </w:r>
          </w:p>
        </w:tc>
        <w:tc>
          <w:tcPr>
            <w:tcW w:type="dxa" w:w="2045"/>
            <w:vAlign w:val="top"/>
          </w:tcPr>
          <w:p>
            <w:r>
              <w:rPr>
                <w:sz w:val="15"/>
              </w:rPr>
              <w:t>US Food and Drug Administration — 21 CFR Part 11 - Electronic Records; Electronic Signatures</w:t>
            </w:r>
          </w:p>
        </w:tc>
        <w:tc>
          <w:tcPr>
            <w:tcW w:type="dxa" w:w="2045"/>
            <w:vAlign w:val="top"/>
          </w:tcPr>
          <w:p>
            <w:r>
              <w:rPr>
                <w:sz w:val="15"/>
              </w:rPr>
              <w:t>Current codification to be verified; Regulation</w:t>
            </w:r>
          </w:p>
        </w:tc>
        <w:tc>
          <w:tcPr>
            <w:tcW w:type="dxa" w:w="2045"/>
            <w:vAlign w:val="top"/>
          </w:tcPr>
          <w:p>
            <w:r>
              <w:rPr>
                <w:sz w:val="15"/>
              </w:rPr>
              <w:t>Applicability depends on predicate rules and record use.</w:t>
            </w:r>
          </w:p>
        </w:tc>
        <w:tc>
          <w:tcPr>
            <w:tcW w:type="dxa" w:w="2045"/>
            <w:vAlign w:val="top"/>
          </w:tcPr>
          <w:p>
            <w:r>
              <w:rPr>
                <w:sz w:val="15"/>
              </w:rPr>
              <w:t>https://www.ecfr.gov/current/title-21/chapter-I/subchapter-A/part-11</w:t>
            </w:r>
          </w:p>
        </w:tc>
      </w:tr>
      <w:tr>
        <w:tc>
          <w:tcPr>
            <w:tcW w:type="dxa" w:w="2045"/>
            <w:vAlign w:val="top"/>
          </w:tcPr>
          <w:p>
            <w:r>
              <w:rPr>
                <w:sz w:val="15"/>
              </w:rPr>
              <w:t>SRC-006</w:t>
            </w:r>
          </w:p>
        </w:tc>
        <w:tc>
          <w:tcPr>
            <w:tcW w:type="dxa" w:w="2045"/>
            <w:vAlign w:val="top"/>
          </w:tcPr>
          <w:p>
            <w:r>
              <w:rPr>
                <w:sz w:val="15"/>
              </w:rPr>
              <w:t>NIST — Artificial Intelligence Risk Management Framework (AI RMF 1.0)</w:t>
            </w:r>
          </w:p>
        </w:tc>
        <w:tc>
          <w:tcPr>
            <w:tcW w:type="dxa" w:w="2045"/>
            <w:vAlign w:val="top"/>
          </w:tcPr>
          <w:p>
            <w:r>
              <w:rPr>
                <w:sz w:val="15"/>
              </w:rPr>
              <w:t>2023; Voluntary framework</w:t>
            </w:r>
          </w:p>
        </w:tc>
        <w:tc>
          <w:tcPr>
            <w:tcW w:type="dxa" w:w="2045"/>
            <w:vAlign w:val="top"/>
          </w:tcPr>
          <w:p>
            <w:r>
              <w:rPr>
                <w:sz w:val="15"/>
              </w:rPr>
              <w:t>Not pharmaceutical regulation and not a compliance certification.</w:t>
            </w:r>
          </w:p>
        </w:tc>
        <w:tc>
          <w:tcPr>
            <w:tcW w:type="dxa" w:w="2045"/>
            <w:vAlign w:val="top"/>
          </w:tcPr>
          <w:p>
            <w:r>
              <w:rPr>
                <w:sz w:val="15"/>
              </w:rPr>
              <w:t>https://www.nist.gov/itl/ai-risk-management-framework</w:t>
            </w:r>
          </w:p>
        </w:tc>
      </w:tr>
      <w:tr>
        <w:tc>
          <w:tcPr>
            <w:tcW w:type="dxa" w:w="2045"/>
            <w:vAlign w:val="top"/>
          </w:tcPr>
          <w:p>
            <w:r>
              <w:rPr>
                <w:sz w:val="15"/>
              </w:rPr>
              <w:t>SRC-007</w:t>
            </w:r>
          </w:p>
        </w:tc>
        <w:tc>
          <w:tcPr>
            <w:tcW w:type="dxa" w:w="2045"/>
            <w:vAlign w:val="top"/>
          </w:tcPr>
          <w:p>
            <w:r>
              <w:rPr>
                <w:sz w:val="15"/>
              </w:rPr>
              <w:t>NIST — Cybersecurity Framework 2.0</w:t>
            </w:r>
          </w:p>
        </w:tc>
        <w:tc>
          <w:tcPr>
            <w:tcW w:type="dxa" w:w="2045"/>
            <w:vAlign w:val="top"/>
          </w:tcPr>
          <w:p>
            <w:r>
              <w:rPr>
                <w:sz w:val="15"/>
              </w:rPr>
              <w:t>2024; Voluntary framework</w:t>
            </w:r>
          </w:p>
        </w:tc>
        <w:tc>
          <w:tcPr>
            <w:tcW w:type="dxa" w:w="2045"/>
            <w:vAlign w:val="top"/>
          </w:tcPr>
          <w:p>
            <w:r>
              <w:rPr>
                <w:sz w:val="15"/>
              </w:rPr>
              <w:t>Requires tailoring; does not replace GxP or product-specific requirements.</w:t>
            </w:r>
          </w:p>
        </w:tc>
        <w:tc>
          <w:tcPr>
            <w:tcW w:type="dxa" w:w="2045"/>
            <w:vAlign w:val="top"/>
          </w:tcPr>
          <w:p>
            <w:r>
              <w:rPr>
                <w:sz w:val="15"/>
              </w:rPr>
              <w:t>https://www.nist.gov/cyberframework</w:t>
            </w:r>
          </w:p>
        </w:tc>
      </w:tr>
      <w:tr>
        <w:tc>
          <w:tcPr>
            <w:tcW w:type="dxa" w:w="2045"/>
            <w:vAlign w:val="top"/>
          </w:tcPr>
          <w:p>
            <w:r>
              <w:rPr>
                <w:sz w:val="15"/>
              </w:rPr>
              <w:t>SRC-008</w:t>
            </w:r>
          </w:p>
        </w:tc>
        <w:tc>
          <w:tcPr>
            <w:tcW w:type="dxa" w:w="2045"/>
            <w:vAlign w:val="top"/>
          </w:tcPr>
          <w:p>
            <w:r>
              <w:rPr>
                <w:sz w:val="15"/>
              </w:rPr>
              <w:t>ICH — ICH Q9 Quality Risk Management</w:t>
            </w:r>
          </w:p>
        </w:tc>
        <w:tc>
          <w:tcPr>
            <w:tcW w:type="dxa" w:w="2045"/>
            <w:vAlign w:val="top"/>
          </w:tcPr>
          <w:p>
            <w:r>
              <w:rPr>
                <w:sz w:val="15"/>
              </w:rPr>
              <w:t>Current adopted revision to be verified; Harmonised guideline</w:t>
            </w:r>
          </w:p>
        </w:tc>
        <w:tc>
          <w:tcPr>
            <w:tcW w:type="dxa" w:w="2045"/>
            <w:vAlign w:val="top"/>
          </w:tcPr>
          <w:p>
            <w:r>
              <w:rPr>
                <w:sz w:val="15"/>
              </w:rPr>
              <w:t>Regional implementation and current revision must be confirmed.</w:t>
            </w:r>
          </w:p>
        </w:tc>
        <w:tc>
          <w:tcPr>
            <w:tcW w:type="dxa" w:w="2045"/>
            <w:vAlign w:val="top"/>
          </w:tcPr>
          <w:p>
            <w:r>
              <w:rPr>
                <w:sz w:val="15"/>
              </w:rPr>
              <w:t>https://www.ich.org/page/quality-guidelines</w:t>
            </w:r>
          </w:p>
        </w:tc>
      </w:tr>
    </w:tbl>
    <w:p/>
    <w:p>
      <w:pPr>
        <w:pStyle w:val="Heading1"/>
      </w:pPr>
      <w:r>
        <w:t>14. Publication Gates</w:t>
      </w:r>
    </w:p>
    <w:p>
      <w:r>
        <w:t>Public release requires qualified pharmaceutical quality/GxP, pharmacovigilance, clinical, manufacturing/laboratory, privacy/legal, jurisdictional regulatory and publication review; named approvals; final licence/trademark wording; and cross-artifact QA.</w:t>
      </w:r>
    </w:p>
    <w:p>
      <w:pPr>
        <w:pStyle w:val="Heading1"/>
      </w:pPr>
      <w:r>
        <w:t>15. Publication-Readiness Decision</w:t>
      </w:r>
    </w:p>
    <w:p>
      <w:r>
        <w:rPr>
          <w:b/>
          <w:color w:val="C65911"/>
        </w:rPr>
        <w:t>PUBLICATION READY WITH OPEN SPECIALIST REVIEW GATES — CONTROLLED PRE-RELEASE ONLY.</w:t>
      </w:r>
    </w:p>
    <w:p>
      <w:r/>
    </w:p>
    <w:p>
      <w:pPr>
        <w:pStyle w:val="Heading1"/>
      </w:pPr>
      <w:r>
        <w:t>Verified Feedback Update Addendum - Version 1.1</w:t>
      </w:r>
    </w:p>
    <w:p>
      <w:r>
        <w:t>This addendum records verified improvements incorporated across the SEC-049 package. It supplements the existing control-by-control guide without altering the authoritative GAISSF control identifiers, titles or source statements.</w:t>
      </w:r>
    </w:p>
    <w:p>
      <w:pPr>
        <w:pStyle w:val="Heading2"/>
      </w:pPr>
      <w:r>
        <w:t>Machine-readable schema parity</w:t>
      </w:r>
    </w:p>
    <w:p>
      <w:r>
        <w:t>The SEC-049 JSON schema now excludes inherited generic VTS, ROI, insurance and unsupported commercial-impact fields. Authoritative requirements remain identified as GAISSF controlled Tier 1 sources. The validation report now includes semantic-parity checks.</w:t>
      </w:r>
    </w:p>
    <w:p>
      <w:pPr>
        <w:pStyle w:val="Heading2"/>
      </w:pPr>
      <w:r>
        <w:t>D8-CTL-04 applicability boundary</w:t>
      </w:r>
    </w:p>
    <w:p>
      <w:r>
        <w:t>The authoritative DORA control remains unchanged. A pharmaceutical organisation is not subject to DORA merely because it uses AI. Direct applicability requires a documented financial-sector, covered ICT-provider, affiliate, contractual or other legal nexus. Where no nexus exists, record a justified Not Applicable decision and separately map applicable pharmaceutical quality, safety, privacy and incident-reporting pathways.</w:t>
      </w:r>
    </w:p>
    <w:p>
      <w:pPr>
        <w:pStyle w:val="Heading2"/>
      </w:pPr>
      <w:r>
        <w:t>D9-CTL-07 retention boundary</w:t>
      </w:r>
    </w:p>
    <w:p>
      <w:r>
        <w:t>ICAO and DORA periods in the authoritative source are source-specific examples, not universal pharmaceutical retention rules. For pharmaceutical systems, record the applicable GxP predicate rule, clinical, pharmacovigilance, product, privacy, litigation-hold or local legal basis, together with owner, approval, integrity controls and reassessment trigger.</w:t>
      </w:r>
    </w:p>
    <w:p>
      <w:pPr>
        <w:pStyle w:val="Heading2"/>
      </w:pPr>
      <w:r>
        <w:t>Physical and OT scope</w:t>
      </w:r>
    </w:p>
    <w:p>
      <w:r>
        <w:t>The workbook now records physical/OT interaction, affected equipment or process, actuator authority, safety-function dependency, override or emergency-stop dependency, site or area and the rationale for D9 applicability.</w:t>
      </w:r>
    </w:p>
    <w:p>
      <w:pPr>
        <w:pStyle w:val="Heading2"/>
      </w:pPr>
      <w:r>
        <w:t>Criticality safeguard</w:t>
      </w:r>
    </w:p>
    <w:p>
      <w:r>
        <w:t>Numeric scoring is an indicative screening aid only. Blank or undetermined factors must not default to Tier 1. GxP significance, direct regulated-record impact, material patient or product risk, and high-consequence autonomous action may require qualitative escalation regardless of score. The approved tier requires named approval and rationale.</w:t>
      </w:r>
    </w:p>
    <w:p>
      <w:pPr>
        <w:pStyle w:val="Heading2"/>
      </w:pPr>
      <w:r>
        <w:t>Exceptions and justified exclusions</w:t>
      </w:r>
    </w:p>
    <w:p>
      <w:r>
        <w:t>Record the system and control, factual rationale, risk assessment, compensating safeguards, residual risk, Quality and Information Security approvals, legal or regulatory review where relevant, expiry date and reassessment trigger.</w:t>
      </w:r>
    </w:p>
    <w:p>
      <w:pPr>
        <w:pStyle w:val="Heading2"/>
      </w:pPr>
      <w:r>
        <w:t>Legacy and embedded AI</w:t>
      </w:r>
    </w:p>
    <w:p>
      <w:r>
        <w:t>Document validated-state constraints, unavailable model internals, unsupported suppliers, logging and provenance limitations, compensating controls and a time-bound remediation or retirement plan. Periodic risk acceptance is required.</w:t>
      </w:r>
    </w:p>
    <w:p>
      <w:pPr>
        <w:pStyle w:val="Heading2"/>
      </w:pPr>
      <w:r>
        <w:t>Threat model maintenance</w:t>
      </w:r>
    </w:p>
    <w:p>
      <w:r>
        <w:t>Refresh the threat model after a new use case, model or provider change, new tool authority, material architecture change, physical/OT connection, confirmed vulnerability or incident, regulatory change, drift or control failure, or new supplier dependency.</w:t>
      </w:r>
    </w:p>
    <w:p>
      <w:pPr>
        <w:pStyle w:val="Heading2"/>
      </w:pPr>
      <w:r>
        <w:t>Workbook usability</w:t>
      </w:r>
    </w:p>
    <w:p>
      <w:r>
        <w:t>The workbook now includes a Quick Start workflow, physical/OT fields, blank-by-default criticality inputs, an Exceptions Register, flat Control-Threat and Control-Use Case mapping sheets, and a Tier 3/4 Action Plan.</w:t>
      </w:r>
    </w:p>
    <w:p>
      <w:pPr>
        <w:pStyle w:val="Heading2"/>
      </w:pPr>
      <w:r>
        <w:t>Additional verified references</w:t>
      </w:r>
    </w:p>
    <w:tbl>
      <w:tblPr>
        <w:tblStyle w:val="TableGrid"/>
        <w:tblW w:type="auto" w:w="0"/>
        <w:tblLook w:firstColumn="1" w:firstRow="1" w:lastColumn="0" w:lastRow="0" w:noHBand="0" w:noVBand="1" w:val="04A0"/>
      </w:tblPr>
      <w:tblGrid>
        <w:gridCol w:w="2556"/>
        <w:gridCol w:w="2556"/>
        <w:gridCol w:w="2556"/>
        <w:gridCol w:w="2556"/>
      </w:tblGrid>
      <w:tr>
        <w:tc>
          <w:tcPr>
            <w:tcW w:type="dxa" w:w="2556"/>
          </w:tcPr>
          <w:p>
            <w:r>
              <w:t>ID</w:t>
            </w:r>
          </w:p>
        </w:tc>
        <w:tc>
          <w:tcPr>
            <w:tcW w:type="dxa" w:w="2556"/>
          </w:tcPr>
          <w:p>
            <w:r>
              <w:t>Instrument</w:t>
            </w:r>
          </w:p>
        </w:tc>
        <w:tc>
          <w:tcPr>
            <w:tcW w:type="dxa" w:w="2556"/>
          </w:tcPr>
          <w:p>
            <w:r>
              <w:t>Status</w:t>
            </w:r>
          </w:p>
        </w:tc>
        <w:tc>
          <w:tcPr>
            <w:tcW w:type="dxa" w:w="2556"/>
          </w:tcPr>
          <w:p>
            <w:r>
              <w:t>Applicability limitation</w:t>
            </w:r>
          </w:p>
        </w:tc>
      </w:tr>
      <w:tr>
        <w:tc>
          <w:tcPr>
            <w:tcW w:type="dxa" w:w="2556"/>
          </w:tcPr>
          <w:p>
            <w:r>
              <w:t>SRC-009</w:t>
            </w:r>
          </w:p>
        </w:tc>
        <w:tc>
          <w:tcPr>
            <w:tcW w:type="dxa" w:w="2556"/>
          </w:tcPr>
          <w:p>
            <w:r>
              <w:t>Regulation (EU) 2022/2554 (DORA)</w:t>
            </w:r>
          </w:p>
        </w:tc>
        <w:tc>
          <w:tcPr>
            <w:tcW w:type="dxa" w:w="2556"/>
          </w:tcPr>
          <w:p>
            <w:r>
              <w:t>Binding EU regulation</w:t>
            </w:r>
          </w:p>
        </w:tc>
        <w:tc>
          <w:tcPr>
            <w:tcW w:type="dxa" w:w="2556"/>
          </w:tcPr>
          <w:p>
            <w:r>
              <w:t>Financial-sector scope; not generally applicable to pharmaceutical entities without a documented nexus.</w:t>
            </w:r>
          </w:p>
        </w:tc>
      </w:tr>
      <w:tr>
        <w:tc>
          <w:tcPr>
            <w:tcW w:type="dxa" w:w="2556"/>
          </w:tcPr>
          <w:p>
            <w:r>
              <w:t>SRC-010</w:t>
            </w:r>
          </w:p>
        </w:tc>
        <w:tc>
          <w:tcPr>
            <w:tcW w:type="dxa" w:w="2556"/>
          </w:tcPr>
          <w:p>
            <w:r>
              <w:t>Regulation (EU) 2024/1689 (Artificial Intelligence Act)</w:t>
            </w:r>
          </w:p>
        </w:tc>
        <w:tc>
          <w:tcPr>
            <w:tcW w:type="dxa" w:w="2556"/>
          </w:tcPr>
          <w:p>
            <w:r>
              <w:t>Binding EU regulation with phased application</w:t>
            </w:r>
          </w:p>
        </w:tc>
        <w:tc>
          <w:tcPr>
            <w:tcW w:type="dxa" w:w="2556"/>
          </w:tcPr>
          <w:p>
            <w:r>
              <w:t>Depends on role, system classification, use, territory and applicable transition dates.</w:t>
            </w:r>
          </w:p>
        </w:tc>
      </w:tr>
      <w:tr>
        <w:tc>
          <w:tcPr>
            <w:tcW w:type="dxa" w:w="2556"/>
          </w:tcPr>
          <w:p>
            <w:r>
              <w:t>SRC-011</w:t>
            </w:r>
          </w:p>
        </w:tc>
        <w:tc>
          <w:tcPr>
            <w:tcW w:type="dxa" w:w="2556"/>
          </w:tcPr>
          <w:p>
            <w:r>
              <w:t>ISO/IEC 42001:2023</w:t>
            </w:r>
          </w:p>
        </w:tc>
        <w:tc>
          <w:tcPr>
            <w:tcW w:type="dxa" w:w="2556"/>
          </w:tcPr>
          <w:p>
            <w:r>
              <w:t>International management-system standard</w:t>
            </w:r>
          </w:p>
        </w:tc>
        <w:tc>
          <w:tcPr>
            <w:tcW w:type="dxa" w:w="2556"/>
          </w:tcPr>
          <w:p>
            <w:r>
              <w:t>Conformity or certification is separate from GAISSF and does not establish pharmaceutical regulatory compliance.</w:t>
            </w:r>
          </w:p>
        </w:tc>
      </w:tr>
      <w:tr>
        <w:tc>
          <w:tcPr>
            <w:tcW w:type="dxa" w:w="2556"/>
          </w:tcPr>
          <w:p>
            <w:r>
              <w:t>SRC-012</w:t>
            </w:r>
          </w:p>
        </w:tc>
        <w:tc>
          <w:tcPr>
            <w:tcW w:type="dxa" w:w="2556"/>
          </w:tcPr>
          <w:p>
            <w:r>
              <w:t>NIST SP 800-218A (2024)</w:t>
            </w:r>
          </w:p>
        </w:tc>
        <w:tc>
          <w:tcPr>
            <w:tcW w:type="dxa" w:w="2556"/>
          </w:tcPr>
          <w:p>
            <w:r>
              <w:t>Final NIST Special Publication</w:t>
            </w:r>
          </w:p>
        </w:tc>
        <w:tc>
          <w:tcPr>
            <w:tcW w:type="dxa" w:w="2556"/>
          </w:tcPr>
          <w:p>
            <w:r>
              <w:t>Voluntary unless adopted; not pharmaceutical regulation and no universal attestation or retention rule is inferred.</w:t>
            </w:r>
          </w:p>
        </w:tc>
      </w:tr>
    </w:tbl>
    <w:p>
      <w:pPr>
        <w:pStyle w:val="Heading2"/>
      </w:pPr>
      <w:r>
        <w:t>Glossary additions</w:t>
      </w:r>
    </w:p>
    <w:p>
      <w:r>
        <w:rPr>
          <w:b/>
        </w:rPr>
        <w:t xml:space="preserve">Criticality tier: </w:t>
      </w:r>
      <w:r>
        <w:t>Informative SEC-049 implementation classification; not a regulator-approved category or GAISSF conformance tier.</w:t>
      </w:r>
    </w:p>
    <w:p>
      <w:r>
        <w:rPr>
          <w:b/>
        </w:rPr>
        <w:t xml:space="preserve">Physical/OT interaction: </w:t>
      </w:r>
      <w:r>
        <w:t>Direct or indirect AI influence over equipment, actuators, industrial controls, laboratory automation, cold-chain systems or other physical processes.</w:t>
      </w:r>
    </w:p>
    <w:p>
      <w:r>
        <w:rPr>
          <w:b/>
        </w:rPr>
        <w:t xml:space="preserve">Legacy system: </w:t>
      </w:r>
      <w:r>
        <w:t>Existing system whose architecture, validation state, supplier support or technical constraints materially limit implementation of current controls.</w:t>
      </w:r>
    </w:p>
    <w:p>
      <w:r>
        <w:rPr>
          <w:b/>
        </w:rPr>
        <w:t xml:space="preserve">Validated state: </w:t>
      </w:r>
      <w:r>
        <w:t>Controlled condition in which a system remains fit for its approved intended use under documented configuration and change controls.</w:t>
      </w:r>
    </w:p>
    <w:p>
      <w:r>
        <w:rPr>
          <w:b/>
        </w:rPr>
        <w:t xml:space="preserve">QMS: </w:t>
      </w:r>
      <w:r>
        <w:t>Quality management system governing applicable procedures, records, deviations, change and CAPA.</w:t>
      </w:r>
    </w:p>
    <w:p>
      <w:pPr>
        <w:pStyle w:val="Heading2"/>
      </w:pPr>
      <w:r>
        <w:t>Publication status</w:t>
      </w:r>
    </w:p>
    <w:p>
      <w:r>
        <w:t>NOT PUBLICATION READY - CONTROLLED PRE-RELEASE ONLY. Structural and feedback-remediation validation has passed, but qualified pharmaceutical quality/GxP, pharmacovigilance, clinical, manufacturing/laboratory, privacy, legal and jurisdiction-specific review gates remain open.</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4"/>
      </w:rPr>
      <w:t>© 2026 ODA3 Pvt Ltd  |  Controlled pre-release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666666"/>
        <w:sz w:val="14"/>
      </w:rPr>
      <w:t>ODA3 Institute  |  SEC-049  |  GAISSF Pharmaceutical Sector Implementation Guide  |  v1.1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F4E78"/>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2F5597"/>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