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rFonts w:ascii="Arial" w:hAnsi="Arial"/>
          <w:b/>
          <w:color w:val="081D3A"/>
          <w:sz w:val="50"/>
        </w:rPr>
        <w:t>UAIF Defensive Publication Template</w:t>
      </w:r>
    </w:p>
    <w:p>
      <w:pPr>
        <w:spacing w:after="200"/>
      </w:pPr>
      <w:r>
        <w:rPr>
          <w:rFonts w:ascii="Arial" w:hAnsi="Arial"/>
          <w:b w:val="0"/>
          <w:color w:val="535D69"/>
          <w:sz w:val="24"/>
        </w:rPr>
        <w:t>Public disclosure structure</w:t>
      </w:r>
    </w:p>
    <w:p>
      <w:pPr>
        <w:spacing w:after="320"/>
      </w:pPr>
      <w:r>
        <w:rPr>
          <w:rFonts w:ascii="Arial" w:hAnsi="Arial"/>
          <w:b/>
          <w:color w:val="007078"/>
          <w:sz w:val="18"/>
        </w:rPr>
        <w:t xml:space="preserve">STATUS  </w:t>
      </w:r>
      <w:r>
        <w:rPr>
          <w:rFonts w:ascii="Arial" w:hAnsi="Arial"/>
          <w:b w:val="0"/>
          <w:color w:val="535D69"/>
          <w:sz w:val="18"/>
        </w:rPr>
        <w:t>Public template • internal workflow and authorization excluded</w:t>
      </w:r>
    </w:p>
    <w:p>
      <w:pPr>
        <w:pStyle w:val="Heading1"/>
      </w:pPr>
      <w:r>
        <w:t>PART A: Publication Record Metadata</w:t>
      </w:r>
    </w:p>
    <w:tbl>
      <w:tblPr>
        <w:tblStyle w:val="TableGrid"/>
        <w:tblW w:type="auto" w:w="0"/>
        <w:tblLayout w:type="autofit"/>
        <w:tblLook w:firstColumn="1" w:firstRow="1" w:lastColumn="0" w:lastRow="0" w:noHBand="0" w:noVBand="1" w:val="04A0"/>
      </w:tblPr>
      <w:tblGrid>
        <w:gridCol w:w="4896"/>
        <w:gridCol w:w="4896"/>
      </w:tblGrid>
      <w:tr>
        <w:tc>
          <w:tcPr>
            <w:tcW w:type="dxa" w:w="4896"/>
          </w:tcPr>
          <w:p>
            <w:r>
              <w:rPr>
                <w:rFonts w:ascii="Arial" w:hAnsi="Arial"/>
                <w:b/>
                <w:color w:val="081D3A"/>
                <w:sz w:val="18"/>
              </w:rPr>
              <w:t>Field</w:t>
            </w:r>
          </w:p>
        </w:tc>
        <w:tc>
          <w:tcPr>
            <w:tcW w:type="dxa" w:w="4896"/>
          </w:tcPr>
          <w:p>
            <w:r>
              <w:rPr>
                <w:rFonts w:ascii="Arial" w:hAnsi="Arial"/>
                <w:b/>
                <w:color w:val="081D3A"/>
                <w:sz w:val="18"/>
              </w:rPr>
              <w:t>Value</w:t>
            </w:r>
          </w:p>
        </w:tc>
      </w:tr>
      <w:tr>
        <w:tc>
          <w:tcPr>
            <w:tcW w:type="dxa" w:w="4896"/>
          </w:tcPr>
          <w:p>
            <w:r>
              <w:rPr>
                <w:rFonts w:ascii="Arial" w:hAnsi="Arial"/>
                <w:b w:val="0"/>
                <w:sz w:val="18"/>
              </w:rPr>
              <w:t>Publication Title</w:t>
            </w:r>
          </w:p>
        </w:tc>
        <w:tc>
          <w:tcPr>
            <w:tcW w:type="dxa" w:w="4896"/>
          </w:tcPr>
          <w:p>
            <w:r>
              <w:rPr>
                <w:rFonts w:ascii="Arial" w:hAnsi="Arial"/>
                <w:b w:val="0"/>
                <w:sz w:val="18"/>
              </w:rPr>
              <w:t>[ALGORITHM NAME — e.g. 'UAIF Diminishing-Contribution Context Modifier Algorithm']</w:t>
            </w:r>
          </w:p>
        </w:tc>
      </w:tr>
      <w:tr>
        <w:tc>
          <w:tcPr>
            <w:tcW w:type="dxa" w:w="4896"/>
          </w:tcPr>
          <w:p>
            <w:r>
              <w:rPr>
                <w:rFonts w:ascii="Arial" w:hAnsi="Arial"/>
                <w:b w:val="0"/>
                <w:sz w:val="18"/>
              </w:rPr>
              <w:t>Publication Reference</w:t>
            </w:r>
          </w:p>
        </w:tc>
        <w:tc>
          <w:tcPr>
            <w:tcW w:type="dxa" w:w="4896"/>
          </w:tcPr>
          <w:p>
            <w:r>
              <w:rPr>
                <w:rFonts w:ascii="Arial" w:hAnsi="Arial"/>
                <w:b w:val="0"/>
                <w:sz w:val="18"/>
              </w:rPr>
              <w:t>[e.g. ODA3-DP-001]</w:t>
            </w:r>
          </w:p>
        </w:tc>
      </w:tr>
      <w:tr>
        <w:tc>
          <w:tcPr>
            <w:tcW w:type="dxa" w:w="4896"/>
          </w:tcPr>
          <w:p>
            <w:r>
              <w:rPr>
                <w:rFonts w:ascii="Arial" w:hAnsi="Arial"/>
                <w:b w:val="0"/>
                <w:sz w:val="18"/>
              </w:rPr>
              <w:t>Publication Date</w:t>
            </w:r>
          </w:p>
        </w:tc>
        <w:tc>
          <w:tcPr>
            <w:tcW w:type="dxa" w:w="4896"/>
          </w:tcPr>
          <w:p>
            <w:r>
              <w:rPr>
                <w:rFonts w:ascii="Arial" w:hAnsi="Arial"/>
                <w:b w:val="0"/>
                <w:sz w:val="18"/>
              </w:rPr>
              <w:t>[DATE — this is the prior art date]</w:t>
            </w:r>
          </w:p>
        </w:tc>
      </w:tr>
      <w:tr>
        <w:tc>
          <w:tcPr>
            <w:tcW w:type="dxa" w:w="4896"/>
          </w:tcPr>
          <w:p>
            <w:r>
              <w:rPr>
                <w:rFonts w:ascii="Arial" w:hAnsi="Arial"/>
                <w:b w:val="0"/>
                <w:sz w:val="18"/>
              </w:rPr>
              <w:t>Authors / Inventors</w:t>
            </w:r>
          </w:p>
        </w:tc>
        <w:tc>
          <w:tcPr>
            <w:tcW w:type="dxa" w:w="4896"/>
          </w:tcPr>
          <w:p>
            <w:r>
              <w:rPr>
                <w:rFonts w:ascii="Arial" w:hAnsi="Arial"/>
                <w:b w:val="0"/>
                <w:sz w:val="18"/>
              </w:rPr>
              <w:t>[Names of individuals who developed the algorithm]</w:t>
            </w:r>
          </w:p>
        </w:tc>
      </w:tr>
      <w:tr>
        <w:tc>
          <w:tcPr>
            <w:tcW w:type="dxa" w:w="4896"/>
          </w:tcPr>
          <w:p>
            <w:r>
              <w:rPr>
                <w:rFonts w:ascii="Arial" w:hAnsi="Arial"/>
                <w:b w:val="0"/>
                <w:sz w:val="18"/>
              </w:rPr>
              <w:t>Assignee</w:t>
            </w:r>
          </w:p>
        </w:tc>
        <w:tc>
          <w:tcPr>
            <w:tcW w:type="dxa" w:w="4896"/>
          </w:tcPr>
          <w:p>
            <w:r>
              <w:rPr>
                <w:rFonts w:ascii="Arial" w:hAnsi="Arial"/>
                <w:b w:val="0"/>
                <w:sz w:val="18"/>
              </w:rPr>
              <w:t>ODA3 Pvt Ltd (ODA3 Institute)</w:t>
            </w:r>
          </w:p>
        </w:tc>
      </w:tr>
      <w:tr>
        <w:tc>
          <w:tcPr>
            <w:tcW w:type="dxa" w:w="4896"/>
          </w:tcPr>
          <w:p>
            <w:r>
              <w:rPr>
                <w:rFonts w:ascii="Arial" w:hAnsi="Arial"/>
                <w:b w:val="0"/>
                <w:sz w:val="18"/>
              </w:rPr>
              <w:t>Framework Version</w:t>
            </w:r>
          </w:p>
        </w:tc>
        <w:tc>
          <w:tcPr>
            <w:tcW w:type="dxa" w:w="4896"/>
          </w:tcPr>
          <w:p>
            <w:r>
              <w:rPr>
                <w:rFonts w:ascii="Arial" w:hAnsi="Arial"/>
                <w:b w:val="0"/>
                <w:sz w:val="18"/>
              </w:rPr>
              <w:t>[e.g. UAIF v1.0]</w:t>
            </w:r>
          </w:p>
        </w:tc>
      </w:tr>
      <w:tr>
        <w:tc>
          <w:tcPr>
            <w:tcW w:type="dxa" w:w="4896"/>
          </w:tcPr>
          <w:p>
            <w:r>
              <w:rPr>
                <w:rFonts w:ascii="Arial" w:hAnsi="Arial"/>
                <w:b w:val="0"/>
                <w:sz w:val="18"/>
              </w:rPr>
              <w:t>Classification (IPC)</w:t>
            </w:r>
          </w:p>
        </w:tc>
        <w:tc>
          <w:tcPr>
            <w:tcW w:type="dxa" w:w="4896"/>
          </w:tcPr>
          <w:p>
            <w:r>
              <w:rPr>
                <w:rFonts w:ascii="Arial" w:hAnsi="Arial"/>
                <w:b w:val="0"/>
                <w:sz w:val="18"/>
              </w:rPr>
              <w:t>[International Patent Classification code(s) — e.g. G06F 40/30]</w:t>
            </w:r>
          </w:p>
        </w:tc>
      </w:tr>
      <w:tr>
        <w:tc>
          <w:tcPr>
            <w:tcW w:type="dxa" w:w="4896"/>
          </w:tcPr>
          <w:p>
            <w:r>
              <w:rPr>
                <w:rFonts w:ascii="Arial" w:hAnsi="Arial"/>
                <w:b w:val="0"/>
                <w:sz w:val="18"/>
              </w:rPr>
              <w:t>Database Submission</w:t>
            </w:r>
          </w:p>
        </w:tc>
        <w:tc>
          <w:tcPr>
            <w:tcW w:type="dxa" w:w="4896"/>
          </w:tcPr>
          <w:p>
            <w:r>
              <w:rPr>
                <w:rFonts w:ascii="Arial" w:hAnsi="Arial"/>
                <w:b w:val="0"/>
                <w:sz w:val="18"/>
              </w:rPr>
              <w:t>[IP.com / Derwent / other — include submission confirmation number once obtained]</w:t>
            </w:r>
          </w:p>
        </w:tc>
      </w:tr>
      <w:tr>
        <w:tc>
          <w:tcPr>
            <w:tcW w:type="dxa" w:w="4896"/>
          </w:tcPr>
          <w:p>
            <w:r>
              <w:rPr>
                <w:rFonts w:ascii="Arial" w:hAnsi="Arial"/>
                <w:b w:val="0"/>
                <w:sz w:val="18"/>
              </w:rPr>
              <w:t>ODA3 Non-Assertion</w:t>
            </w:r>
          </w:p>
        </w:tc>
        <w:tc>
          <w:tcPr>
            <w:tcW w:type="dxa" w:w="4896"/>
          </w:tcPr>
          <w:p>
            <w:r>
              <w:rPr>
                <w:rFonts w:ascii="Arial" w:hAnsi="Arial"/>
                <w:b w:val="0"/>
                <w:sz w:val="18"/>
              </w:rPr>
              <w:t>Covered by ODA3 Patent Non-Assertion Covenant (UAIF IP Policy, Supporting Document D1, Section 4.1) and UAIF Technical Specification Section 13.3 under GEL v1.0. (Note: Where Supporting Document D1 conflicts with GEL v1.0 or TCR §13.3, GEL v1.0 and TCR §13.3 prevail.)</w:t>
            </w:r>
          </w:p>
        </w:tc>
      </w:tr>
    </w:tbl>
    <w:p>
      <w:pPr>
        <w:spacing w:after="60"/>
      </w:pPr>
    </w:p>
    <w:p>
      <w:pPr>
        <w:pStyle w:val="Heading1"/>
      </w:pPr>
      <w:r>
        <w:t>PART B: Technical Disclosure</w:t>
      </w:r>
    </w:p>
    <w:p>
      <w:r>
        <w:rPr>
          <w:rFonts w:ascii="Arial" w:hAnsi="Arial"/>
          <w:b w:val="0"/>
          <w:sz w:val="21"/>
        </w:rPr>
        <w:t>This section must be completed in sufficient technical detail to establish prior art — i.e., to enable a person skilled in the art to implement the algorithm from this disclosure alone. The standard is the same as for patent specification enablement. Incomplete disclosures do not establish robust prior art.</w:t>
      </w:r>
    </w:p>
    <w:p>
      <w:pPr>
        <w:pStyle w:val="Heading2"/>
      </w:pPr>
      <w:r>
        <w:t>B.1  Technical Field</w:t>
      </w:r>
    </w:p>
    <w:p>
      <w:r>
        <w:rPr>
          <w:rFonts w:ascii="Arial" w:hAnsi="Arial"/>
          <w:b w:val="0"/>
          <w:sz w:val="21"/>
        </w:rPr>
        <w:t>[Describe the technical field of the algorithm — e.g. 'This disclosure relates to multi-factor severity scoring systems for AI incident classification, specifically to methods for combining multiple contextual modifier values while preserving analytical differentiation and preventing score saturation.']</w:t>
      </w:r>
    </w:p>
    <w:p>
      <w:pPr>
        <w:pStyle w:val="Heading2"/>
      </w:pPr>
      <w:r>
        <w:t>B.2  Background</w:t>
      </w:r>
    </w:p>
    <w:p>
      <w:r>
        <w:rPr>
          <w:rFonts w:ascii="Arial" w:hAnsi="Arial"/>
          <w:b w:val="0"/>
          <w:sz w:val="21"/>
        </w:rPr>
        <w:t>[Describe the problem the algorithm solves and the prior art context — e.g. existing approaches and their limitations. This contextualises the algorithm and demonstrates novelty.]</w:t>
      </w:r>
    </w:p>
    <w:p>
      <w:r>
        <w:rPr>
          <w:rFonts w:ascii="Arial" w:hAnsi="Arial"/>
          <w:b w:val="0"/>
          <w:sz w:val="21"/>
        </w:rPr>
        <w:t>Example for UAIF Context Modifier Algorithm:</w:t>
      </w:r>
    </w:p>
    <w:tbl>
      <w:tblPr>
        <w:tblStyle w:val="TableGrid"/>
        <w:tblW w:type="auto" w:w="0"/>
        <w:tblLayout w:type="autofit"/>
        <w:tblLook w:firstColumn="1" w:firstRow="1" w:lastColumn="0" w:lastRow="0" w:noHBand="0" w:noVBand="1" w:val="04A0"/>
      </w:tblPr>
      <w:tblGrid>
        <w:gridCol w:w="9792"/>
      </w:tblGrid>
      <w:tr>
        <w:tc>
          <w:tcPr>
            <w:tcW w:type="dxa" w:w="9792"/>
          </w:tcPr>
          <w:p>
            <w:r>
              <w:rPr>
                <w:rFonts w:ascii="Arial" w:hAnsi="Arial"/>
                <w:b/>
                <w:color w:val="081D3A"/>
                <w:sz w:val="18"/>
              </w:rPr>
              <w:t>Example Background</w:t>
              <w:br/>
              <w:t>Prior AI incident severity scoring systems (including CVSS-derived approaches) apply contextual</w:t>
              <w:br/>
              <w:t>modifiers by simple addition or multiplication, leading to score saturation when multiple contextual</w:t>
              <w:br/>
              <w:t>factors are present. Saturation obscures analytical differentiation between compound and simple attacks.</w:t>
              <w:br/>
              <w:t>A method that preserves all contextual information in the score while preventing saturation was needed.</w:t>
            </w:r>
          </w:p>
        </w:tc>
      </w:tr>
    </w:tbl>
    <w:p>
      <w:pPr>
        <w:spacing w:after="60"/>
      </w:pPr>
    </w:p>
    <w:p>
      <w:pPr>
        <w:pStyle w:val="Heading2"/>
      </w:pPr>
      <w:r>
        <w:t>B.3  Detailed Description of the Algorithm</w:t>
      </w:r>
    </w:p>
    <w:p>
      <w:r>
        <w:rPr>
          <w:rFonts w:ascii="Arial" w:hAnsi="Arial"/>
          <w:b w:val="0"/>
          <w:sz w:val="21"/>
        </w:rPr>
        <w:t>[Provide complete, step-by-step description of the algorithm including: inputs, processing steps, decision points, outputs, and edge case handling. Include pseudocode or reference implementation code. The description must be sufficient to implement the algorithm without additional information.]</w:t>
      </w:r>
    </w:p>
    <w:p>
      <w:r>
        <w:rPr>
          <w:rFonts w:ascii="Arial" w:hAnsi="Arial"/>
          <w:b w:val="0"/>
          <w:sz w:val="21"/>
        </w:rPr>
        <w:t>Example structure for a UAIF algorithm disclosure:</w:t>
      </w:r>
    </w:p>
    <w:tbl>
      <w:tblPr>
        <w:tblStyle w:val="TableGrid"/>
        <w:tblW w:type="auto" w:w="0"/>
        <w:tblLayout w:type="autofit"/>
        <w:tblLook w:firstColumn="1" w:firstRow="1" w:lastColumn="0" w:lastRow="0" w:noHBand="0" w:noVBand="1" w:val="04A0"/>
      </w:tblPr>
      <w:tblGrid>
        <w:gridCol w:w="4896"/>
        <w:gridCol w:w="4896"/>
      </w:tblGrid>
      <w:tr>
        <w:tc>
          <w:tcPr>
            <w:tcW w:type="dxa" w:w="4896"/>
          </w:tcPr>
          <w:p>
            <w:r>
              <w:rPr>
                <w:rFonts w:ascii="Arial" w:hAnsi="Arial"/>
                <w:b/>
                <w:color w:val="081D3A"/>
                <w:sz w:val="18"/>
              </w:rPr>
              <w:t>Element</w:t>
            </w:r>
          </w:p>
        </w:tc>
        <w:tc>
          <w:tcPr>
            <w:tcW w:type="dxa" w:w="4896"/>
          </w:tcPr>
          <w:p>
            <w:r>
              <w:rPr>
                <w:rFonts w:ascii="Arial" w:hAnsi="Arial"/>
                <w:b/>
                <w:color w:val="081D3A"/>
                <w:sz w:val="18"/>
              </w:rPr>
              <w:t>Required Content</w:t>
            </w:r>
          </w:p>
        </w:tc>
      </w:tr>
      <w:tr>
        <w:tc>
          <w:tcPr>
            <w:tcW w:type="dxa" w:w="4896"/>
          </w:tcPr>
          <w:p>
            <w:r>
              <w:rPr>
                <w:rFonts w:ascii="Arial" w:hAnsi="Arial"/>
                <w:b w:val="0"/>
                <w:sz w:val="18"/>
              </w:rPr>
              <w:t>Inputs</w:t>
            </w:r>
          </w:p>
        </w:tc>
        <w:tc>
          <w:tcPr>
            <w:tcW w:type="dxa" w:w="4896"/>
          </w:tcPr>
          <w:p>
            <w:r>
              <w:rPr>
                <w:rFonts w:ascii="Arial" w:hAnsi="Arial"/>
                <w:b w:val="0"/>
                <w:sz w:val="18"/>
              </w:rPr>
              <w:t>List and type all inputs with valid ranges and constraints</w:t>
            </w:r>
          </w:p>
        </w:tc>
      </w:tr>
      <w:tr>
        <w:tc>
          <w:tcPr>
            <w:tcW w:type="dxa" w:w="4896"/>
          </w:tcPr>
          <w:p>
            <w:r>
              <w:rPr>
                <w:rFonts w:ascii="Arial" w:hAnsi="Arial"/>
                <w:b w:val="0"/>
                <w:sz w:val="18"/>
              </w:rPr>
              <w:t>Processing steps</w:t>
            </w:r>
          </w:p>
        </w:tc>
        <w:tc>
          <w:tcPr>
            <w:tcW w:type="dxa" w:w="4896"/>
          </w:tcPr>
          <w:p>
            <w:r>
              <w:rPr>
                <w:rFonts w:ascii="Arial" w:hAnsi="Arial"/>
                <w:b w:val="0"/>
                <w:sz w:val="18"/>
              </w:rPr>
              <w:t>Numbered sequential steps; each step must be unambiguous</w:t>
            </w:r>
          </w:p>
        </w:tc>
      </w:tr>
      <w:tr>
        <w:tc>
          <w:tcPr>
            <w:tcW w:type="dxa" w:w="4896"/>
          </w:tcPr>
          <w:p>
            <w:r>
              <w:rPr>
                <w:rFonts w:ascii="Arial" w:hAnsi="Arial"/>
                <w:b w:val="0"/>
                <w:sz w:val="18"/>
              </w:rPr>
              <w:t>Mathematical operations</w:t>
            </w:r>
          </w:p>
        </w:tc>
        <w:tc>
          <w:tcPr>
            <w:tcW w:type="dxa" w:w="4896"/>
          </w:tcPr>
          <w:p>
            <w:r>
              <w:rPr>
                <w:rFonts w:ascii="Arial" w:hAnsi="Arial"/>
                <w:b w:val="0"/>
                <w:sz w:val="18"/>
              </w:rPr>
              <w:t>Express all formulas in standard notation; define all variables</w:t>
            </w:r>
          </w:p>
        </w:tc>
      </w:tr>
      <w:tr>
        <w:tc>
          <w:tcPr>
            <w:tcW w:type="dxa" w:w="4896"/>
          </w:tcPr>
          <w:p>
            <w:r>
              <w:rPr>
                <w:rFonts w:ascii="Arial" w:hAnsi="Arial"/>
                <w:b w:val="0"/>
                <w:sz w:val="18"/>
              </w:rPr>
              <w:t>Decision logic</w:t>
            </w:r>
          </w:p>
        </w:tc>
        <w:tc>
          <w:tcPr>
            <w:tcW w:type="dxa" w:w="4896"/>
          </w:tcPr>
          <w:p>
            <w:r>
              <w:rPr>
                <w:rFonts w:ascii="Arial" w:hAnsi="Arial"/>
                <w:b w:val="0"/>
                <w:sz w:val="18"/>
              </w:rPr>
              <w:t>Document all conditional branches and their conditions</w:t>
            </w:r>
          </w:p>
        </w:tc>
      </w:tr>
      <w:tr>
        <w:tc>
          <w:tcPr>
            <w:tcW w:type="dxa" w:w="4896"/>
          </w:tcPr>
          <w:p>
            <w:r>
              <w:rPr>
                <w:rFonts w:ascii="Arial" w:hAnsi="Arial"/>
                <w:b w:val="0"/>
                <w:sz w:val="18"/>
              </w:rPr>
              <w:t>Outputs</w:t>
            </w:r>
          </w:p>
        </w:tc>
        <w:tc>
          <w:tcPr>
            <w:tcW w:type="dxa" w:w="4896"/>
          </w:tcPr>
          <w:p>
            <w:r>
              <w:rPr>
                <w:rFonts w:ascii="Arial" w:hAnsi="Arial"/>
                <w:b w:val="0"/>
                <w:sz w:val="18"/>
              </w:rPr>
              <w:t>List and type all outputs with precision requirements</w:t>
            </w:r>
          </w:p>
        </w:tc>
      </w:tr>
      <w:tr>
        <w:tc>
          <w:tcPr>
            <w:tcW w:type="dxa" w:w="4896"/>
          </w:tcPr>
          <w:p>
            <w:r>
              <w:rPr>
                <w:rFonts w:ascii="Arial" w:hAnsi="Arial"/>
                <w:b w:val="0"/>
                <w:sz w:val="18"/>
              </w:rPr>
              <w:t>Edge cases</w:t>
            </w:r>
          </w:p>
        </w:tc>
        <w:tc>
          <w:tcPr>
            <w:tcW w:type="dxa" w:w="4896"/>
          </w:tcPr>
          <w:p>
            <w:r>
              <w:rPr>
                <w:rFonts w:ascii="Arial" w:hAnsi="Arial"/>
                <w:b w:val="0"/>
                <w:sz w:val="18"/>
              </w:rPr>
              <w:t>Document behaviour for empty inputs, boundary values, invalid inputs</w:t>
            </w:r>
          </w:p>
        </w:tc>
      </w:tr>
      <w:tr>
        <w:tc>
          <w:tcPr>
            <w:tcW w:type="dxa" w:w="4896"/>
          </w:tcPr>
          <w:p>
            <w:r>
              <w:rPr>
                <w:rFonts w:ascii="Arial" w:hAnsi="Arial"/>
                <w:b w:val="0"/>
                <w:sz w:val="18"/>
              </w:rPr>
              <w:t>Pseudocode</w:t>
            </w:r>
          </w:p>
        </w:tc>
        <w:tc>
          <w:tcPr>
            <w:tcW w:type="dxa" w:w="4896"/>
          </w:tcPr>
          <w:p>
            <w:r>
              <w:rPr>
                <w:rFonts w:ascii="Arial" w:hAnsi="Arial"/>
                <w:b w:val="0"/>
                <w:sz w:val="18"/>
              </w:rPr>
              <w:t>Provide language-agnostic pseudocode implementing the full algorithm</w:t>
            </w:r>
          </w:p>
        </w:tc>
      </w:tr>
      <w:tr>
        <w:tc>
          <w:tcPr>
            <w:tcW w:type="dxa" w:w="4896"/>
          </w:tcPr>
          <w:p>
            <w:r>
              <w:rPr>
                <w:rFonts w:ascii="Arial" w:hAnsi="Arial"/>
                <w:b w:val="0"/>
                <w:sz w:val="18"/>
              </w:rPr>
              <w:t>Reference implementation</w:t>
            </w:r>
          </w:p>
        </w:tc>
        <w:tc>
          <w:tcPr>
            <w:tcW w:type="dxa" w:w="4896"/>
          </w:tcPr>
          <w:p>
            <w:r>
              <w:rPr>
                <w:rFonts w:ascii="Arial" w:hAnsi="Arial"/>
                <w:b w:val="0"/>
                <w:sz w:val="18"/>
              </w:rPr>
              <w:t>Reference to the GEL v1.0-licensed reference implementation (e.g. UAIF v1.0 reference code, available at https://oda3.org/uaif/conformance)</w:t>
            </w:r>
          </w:p>
        </w:tc>
      </w:tr>
    </w:tbl>
    <w:p>
      <w:pPr>
        <w:spacing w:after="60"/>
      </w:pPr>
    </w:p>
    <w:p>
      <w:pPr>
        <w:pStyle w:val="Heading2"/>
      </w:pPr>
      <w:r>
        <w:t>B.4  Claims Scope (Informal)</w:t>
      </w:r>
    </w:p>
    <w:p>
      <w:r>
        <w:rPr>
          <w:rFonts w:ascii="Arial" w:hAnsi="Arial"/>
          <w:b w:val="0"/>
          <w:sz w:val="21"/>
        </w:rPr>
        <w:t>[Describe in plain language what aspects of the algorithm are being placed in the prior art record. This is NOT a patent claim — it is a plain language description of the inventive concept being defensively published. Example:]</w:t>
      </w:r>
    </w:p>
    <w:tbl>
      <w:tblPr>
        <w:tblStyle w:val="TableGrid"/>
        <w:tblW w:type="auto" w:w="0"/>
        <w:tblLayout w:type="autofit"/>
        <w:tblLook w:firstColumn="1" w:firstRow="1" w:lastColumn="0" w:lastRow="0" w:noHBand="0" w:noVBand="1" w:val="04A0"/>
      </w:tblPr>
      <w:tblGrid>
        <w:gridCol w:w="9792"/>
      </w:tblGrid>
      <w:tr>
        <w:tc>
          <w:tcPr>
            <w:tcW w:type="dxa" w:w="9792"/>
          </w:tcPr>
          <w:p>
            <w:r>
              <w:rPr>
                <w:rFonts w:ascii="Arial" w:hAnsi="Arial"/>
                <w:b/>
                <w:color w:val="081D3A"/>
                <w:sz w:val="18"/>
              </w:rPr>
              <w:t>Example Claims Scope</w:t>
              <w:br/>
              <w:t>The following inventive concepts are placed in the prior art record by this publication:</w:t>
              <w:br/>
              <w:t>1. A method of combining multiple contextual severity modifiers using a diminishing contribution</w:t>
              <w:br/>
              <w:t xml:space="preserve">   factor, where each successive modifier contributes a fixed fraction (e.g. 50%) of the prior</w:t>
              <w:br/>
              <w:t xml:space="preserve">   modifier's contribution, combined with a per-factor cap and a total sum cap.</w:t>
              <w:br/>
              <w:t>2. The application of such a method to AI incident severity scoring, where the full set of</w:t>
              <w:br/>
              <w:t xml:space="preserve">   applied modifiers and their individual contributions are recorded in a machine-readable</w:t>
              <w:br/>
              <w:t xml:space="preserve">   audit trail regardless of their contribution magnitude.</w:t>
            </w:r>
          </w:p>
        </w:tc>
      </w:tr>
    </w:tbl>
    <w:p>
      <w:pPr>
        <w:spacing w:after="60"/>
      </w:pPr>
    </w:p>
    <w:p>
      <w:pPr>
        <w:pStyle w:val="Heading2"/>
      </w:pPr>
      <w:r>
        <w:t>B.5  Variations and Equivalents</w:t>
      </w:r>
    </w:p>
    <w:p>
      <w:r>
        <w:rPr>
          <w:rFonts w:ascii="Arial" w:hAnsi="Arial"/>
          <w:b w:val="0"/>
          <w:sz w:val="21"/>
        </w:rPr>
        <w:t>[Describe obvious variations of the algorithm that should also be captured in the prior art record — e.g. different diminishing factors (33% instead of 50%), different cap structures, application to different scoring domains. This broadens the prior art and prevents narrow workarounds from being patented.]</w:t>
      </w:r>
    </w:p>
    <w:p>
      <w:pPr>
        <w:pStyle w:val="Heading1"/>
      </w:pPr>
      <w:r>
        <w:t>PART C: Non-Assertion Statement</w:t>
      </w:r>
    </w:p>
    <w:tbl>
      <w:tblPr>
        <w:tblStyle w:val="TableGrid"/>
        <w:tblW w:type="auto" w:w="0"/>
        <w:tblLayout w:type="autofit"/>
        <w:tblLook w:firstColumn="1" w:firstRow="1" w:lastColumn="0" w:lastRow="0" w:noHBand="0" w:noVBand="1" w:val="04A0"/>
      </w:tblPr>
      <w:tblGrid>
        <w:gridCol w:w="9792"/>
      </w:tblGrid>
      <w:tr>
        <w:tc>
          <w:tcPr>
            <w:tcW w:type="dxa" w:w="9792"/>
          </w:tcPr>
          <w:p>
            <w:r>
              <w:rPr>
                <w:rFonts w:ascii="Arial" w:hAnsi="Arial"/>
                <w:b/>
                <w:color w:val="081D3A"/>
                <w:sz w:val="18"/>
              </w:rPr>
              <w:t>ODA3 Patent Non-Assertion — ODA3 Pvt Ltd</w:t>
              <w:br/>
              <w:t>ODA3 Pvt Ltd (trading as ODA3 Institute) irrevocably commits that it will not file</w:t>
              <w:br/>
              <w:t>patent applications on the algorithm(s) described in Part B of this Publication Record,</w:t>
              <w:br/>
              <w:t>and that it will not assert any patent claims it owns or controls that read on the</w:t>
              <w:br/>
              <w:t>algorithm(s) described herein against any party implementing those algorithms</w:t>
              <w:br/>
              <w:t>in conformance with the UAIF specification as published by ODA3 Institute under the GAISSF Ecosystem Licence (GEL v1.0).</w:t>
              <w:br/>
              <w:br/>
              <w:t>This commitment is consistent with the ODA3 Patent Non-Assertion Covenant set out in</w:t>
              <w:br/>
              <w:t>the UAIF Intellectual Property Policy (Supporting Document D1, Section 4) and the Patent Non-Assertion Covenant in the UAIF Technical Specification Section 13.3 under GEL v1.0. Where Supporting Document D1 conflicts with GEL v1.0 or TCR §13.3, GEL v1.0 and TCR §13.3 prevail.</w:t>
              <w:br/>
              <w:br/>
              <w:t>Version boundaries (MAJOR, MINOR, PATCH) are determined solely by ODA3 Institute in accordance with GEL v1.0 Section 10.2. This commitment is irrevocable with respect to the UAIF MAJOR version current at the date</w:t>
              <w:br/>
              <w:t>of this publication and all subsequent MINOR and PATCH versions within that MAJOR version. This non-assertion commitment does not grant any right to use ODA3 Institute’s trademarks, including GAISSF®, UAIF®, AI-IRF®, and ODA3®, in connection with any implementation. Such use requires separate written authorisation from ODA3 Institute, consistent with GEL v1.0 Section 9.3. A party implementing a defensively published algorithm may make factual alignment statements (e.g. “implements UAIF context modifier algorithm as described in ODA3-DP-XXX”) without ODA3 certification, consistent with GEL v1.0 Section 10.3. Use of UAIF Certified or UAIF-Compatible marks still requires written authorisation from ODA3 Institute.</w:t>
            </w:r>
          </w:p>
        </w:tc>
      </w:tr>
    </w:tbl>
    <w:p>
      <w:pPr>
        <w:spacing w:after="60"/>
      </w:pPr>
    </w:p>
    <w:p>
      <w:pPr>
        <w:pStyle w:val="Heading1"/>
      </w:pPr>
      <w:r>
        <w:t>Public template boundary</w:t>
      </w:r>
    </w:p>
    <w:p>
      <w:r>
        <w:rPr>
          <w:rFonts w:ascii="Arial" w:hAnsi="Arial"/>
          <w:b w:val="0"/>
          <w:sz w:val="21"/>
        </w:rPr>
        <w:t>Parts A–C are published to explain the metadata, enabling technical disclosure and non-assertion record expected for a defensive publication. Internal technical/legal review, authorised signatory fields, repository selection, submission credentials, archive operations and approval workflow are withheld.</w:t>
      </w:r>
    </w:p>
    <w:sectPr w:rsidR="00FC693F" w:rsidRPr="0006063C" w:rsidSect="00034616">
      <w:headerReference w:type="default" r:id="rId9"/>
      <w:footerReference w:type="default" r:id="rId10"/>
      <w:pgSz w:w="12240" w:h="15840"/>
      <w:pgMar w:top="1152" w:right="1224" w:bottom="1152"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val="0"/>
        <w:color w:val="535D69"/>
        <w:sz w:val="16"/>
      </w:rPr>
      <w:t>CONTACT_AT_ODA3_DOT_ORG  •  © 2026 ODA3 Pvt Ltd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Arial" w:hAnsi="Arial"/>
        <w:b/>
        <w:color w:val="535D69"/>
        <w:sz w:val="18"/>
      </w:rPr>
      <w:t>ODA3 INSTITUTE  |  UAIF PUBLICATION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rial" w:hAnsi="Arial"/>
      <w:b/>
      <w:bCs/>
      <w:color w:val="081D3A"/>
      <w:sz w:val="32"/>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Arial" w:hAnsi="Arial"/>
      <w:b/>
      <w:bCs/>
      <w:color w:val="007078"/>
      <w:sz w:val="25"/>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ascii="Arial" w:hAnsi="Arial"/>
      <w:b/>
      <w:bCs/>
      <w:color w:val="0070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before="0"/>
      <w:contextualSpacing/>
    </w:pPr>
    <w:rPr>
      <w:rFonts w:asciiTheme="majorHAnsi" w:eastAsiaTheme="majorEastAsia" w:hAnsiTheme="majorHAnsi" w:cstheme="majorBidi" w:ascii="Arial" w:hAnsi="Arial"/>
      <w:b/>
      <w:color w:val="081D3A"/>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