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081D3A"/>
          <w:sz w:val="50"/>
        </w:rPr>
        <w:t>UAIF Frequently Asked Questions</w:t>
      </w:r>
    </w:p>
    <w:p>
      <w:pPr>
        <w:spacing w:after="200"/>
      </w:pPr>
      <w:r>
        <w:rPr>
          <w:rFonts w:ascii="Arial" w:hAnsi="Arial"/>
          <w:b w:val="0"/>
          <w:color w:val="535D69"/>
          <w:sz w:val="24"/>
        </w:rPr>
        <w:t>Public web-aligned reference edition</w:t>
      </w:r>
    </w:p>
    <w:p>
      <w:pPr>
        <w:spacing w:after="320"/>
      </w:pPr>
      <w:r>
        <w:rPr>
          <w:rFonts w:ascii="Arial" w:hAnsi="Arial"/>
          <w:b/>
          <w:color w:val="007078"/>
          <w:sz w:val="18"/>
        </w:rPr>
        <w:t xml:space="preserve">STATUS  </w:t>
      </w:r>
      <w:r>
        <w:rPr>
          <w:rFonts w:ascii="Arial" w:hAnsi="Arial"/>
          <w:b w:val="0"/>
          <w:color w:val="535D69"/>
          <w:sz w:val="18"/>
        </w:rPr>
        <w:t>Publication candidate • 39 questions • GEL v1.0</w:t>
      </w:r>
    </w:p>
    <w:p>
      <w:r>
        <w:rPr>
          <w:rFonts w:ascii="Arial" w:hAnsi="Arial"/>
          <w:b w:val="0"/>
          <w:sz w:val="21"/>
        </w:rPr>
        <w:t>This FAQ explains the current public UAIF v1.0 publication set, maturity boundaries, schema, adoption, evidence, licensing and controlled-resource model. It does not create certification or legal advice.</w:t>
      </w:r>
    </w:p>
    <w:p>
      <w:pPr>
        <w:pStyle w:val="Heading1"/>
      </w:pPr>
      <w:r>
        <w:t>UAIF FAQ publication</w:t>
      </w:r>
    </w:p>
    <w:p>
      <w:pPr>
        <w:pStyle w:val="Heading1"/>
      </w:pPr>
      <w:r>
        <w:t>General</w:t>
      </w:r>
    </w:p>
    <w:p>
      <w:pPr>
        <w:pStyle w:val="Heading2"/>
      </w:pPr>
      <w:r>
        <w:t>What is UAIF?</w:t>
      </w:r>
    </w:p>
    <w:p>
      <w:r>
        <w:rPr>
          <w:rFonts w:ascii="Arial" w:hAnsi="Arial"/>
          <w:b w:val="0"/>
          <w:sz w:val="21"/>
        </w:rPr>
        <w:t>UAIF is the Unified AI Incident Framework: a structured taxonomy, severity model and machine-readable incident record for consistent AI-incident classification, exchange, analysis and routing.</w:t>
      </w:r>
    </w:p>
    <w:p>
      <w:pPr>
        <w:pStyle w:val="Heading2"/>
      </w:pPr>
      <w:r>
        <w:t>Why does UAIF exist?</w:t>
      </w:r>
    </w:p>
    <w:p>
      <w:r>
        <w:rPr>
          <w:rFonts w:ascii="Arial" w:hAnsi="Arial"/>
          <w:b w:val="0"/>
          <w:sz w:val="21"/>
        </w:rPr>
        <w:t>Organizations face different incident vocabularies and reporting structures. UAIF provides a common technical record so incidents can be compared and routed without claiming to replace legal analysis.</w:t>
      </w:r>
    </w:p>
    <w:p>
      <w:pPr>
        <w:pStyle w:val="Heading2"/>
      </w:pPr>
      <w:r>
        <w:t>Who should use UAIF?</w:t>
      </w:r>
    </w:p>
    <w:p>
      <w:r>
        <w:rPr>
          <w:rFonts w:ascii="Arial" w:hAnsi="Arial"/>
          <w:b w:val="0"/>
          <w:sz w:val="21"/>
        </w:rPr>
        <w:t>AI product teams, security operations, governance and risk teams, incident responders, auditors, researchers, regulators and software providers can use the public specification within its stated licence and maturity boundaries.</w:t>
      </w:r>
    </w:p>
    <w:p>
      <w:pPr>
        <w:pStyle w:val="Heading2"/>
      </w:pPr>
      <w:r>
        <w:t>Is UAIF a certification scheme?</w:t>
      </w:r>
    </w:p>
    <w:p>
      <w:r>
        <w:rPr>
          <w:rFonts w:ascii="Arial" w:hAnsi="Arial"/>
          <w:b w:val="0"/>
          <w:sz w:val="21"/>
        </w:rPr>
        <w:t>No. UAIF v1.0 is a framework and publication candidate. Certification and independent assessor services are not currently represented as available.</w:t>
      </w:r>
    </w:p>
    <w:p>
      <w:pPr>
        <w:pStyle w:val="Heading1"/>
      </w:pPr>
      <w:r>
        <w:t>Architecture and records</w:t>
      </w:r>
    </w:p>
    <w:p>
      <w:pPr>
        <w:pStyle w:val="Heading2"/>
      </w:pPr>
      <w:r>
        <w:t>What are the UAIF layers?</w:t>
      </w:r>
    </w:p>
    <w:p>
      <w:r>
        <w:rPr>
          <w:rFonts w:ascii="Arial" w:hAnsi="Arial"/>
          <w:b w:val="0"/>
          <w:sz w:val="21"/>
        </w:rPr>
        <w:t>UAIF organizes incident identity and workflow, causal separation, severity, acute and chronic harm, incident-versus-vulnerability status, generative or agentic context, and regulatory or sector metadata into a seven-layer model.</w:t>
      </w:r>
    </w:p>
    <w:p>
      <w:pPr>
        <w:pStyle w:val="Heading2"/>
      </w:pPr>
      <w:r>
        <w:t>Is every UAIF artifact a control?</w:t>
      </w:r>
    </w:p>
    <w:p>
      <w:r>
        <w:rPr>
          <w:rFonts w:ascii="Arial" w:hAnsi="Arial"/>
          <w:b w:val="0"/>
          <w:sz w:val="21"/>
        </w:rPr>
        <w:t>No. UAIF contains record fields, harm categories, context modifiers, conformance profiles and tests. They must not be described as independently certifiable GAISSF controls.</w:t>
      </w:r>
    </w:p>
    <w:p>
      <w:pPr>
        <w:pStyle w:val="Heading2"/>
      </w:pPr>
      <w:r>
        <w:t>What is the difference between an incident and a vulnerability?</w:t>
      </w:r>
    </w:p>
    <w:p>
      <w:r>
        <w:rPr>
          <w:rFonts w:ascii="Arial" w:hAnsi="Arial"/>
          <w:b w:val="0"/>
          <w:sz w:val="21"/>
        </w:rPr>
        <w:t>An incident records an occurrence and its effects. A vulnerability records an exposure or weakness. UAIF permits relationships between them without collapsing their different evidentiary states.</w:t>
      </w:r>
    </w:p>
    <w:p>
      <w:pPr>
        <w:pStyle w:val="Heading2"/>
      </w:pPr>
      <w:r>
        <w:t>How does UAIF separate cause from manifestation?</w:t>
      </w:r>
    </w:p>
    <w:p>
      <w:r>
        <w:rPr>
          <w:rFonts w:ascii="Arial" w:hAnsi="Arial"/>
          <w:b w:val="0"/>
          <w:sz w:val="21"/>
        </w:rPr>
        <w:t>The causal layer records a primary cause domain, specific cause type, confidence and available exploit-path evidence separately from the observed outcome.</w:t>
      </w:r>
    </w:p>
    <w:p>
      <w:pPr>
        <w:pStyle w:val="Heading2"/>
      </w:pPr>
      <w:r>
        <w:t>How are agentic and generative AI incidents represented?</w:t>
      </w:r>
    </w:p>
    <w:p>
      <w:r>
        <w:rPr>
          <w:rFonts w:ascii="Arial" w:hAnsi="Arial"/>
          <w:b w:val="0"/>
          <w:sz w:val="21"/>
        </w:rPr>
        <w:t>The L5 context records generative, agentic and control-plane information such as escalation chains, MCP endpoints, OAuth pivots and related system context when applicable.</w:t>
      </w:r>
    </w:p>
    <w:p>
      <w:pPr>
        <w:pStyle w:val="Heading1"/>
      </w:pPr>
      <w:r>
        <w:t>Severity and harm</w:t>
      </w:r>
    </w:p>
    <w:p>
      <w:pPr>
        <w:pStyle w:val="Heading2"/>
      </w:pPr>
      <w:r>
        <w:t>Does UAIF produce a severity score?</w:t>
      </w:r>
    </w:p>
    <w:p>
      <w:r>
        <w:rPr>
          <w:rFonts w:ascii="Arial" w:hAnsi="Arial"/>
          <w:b w:val="0"/>
          <w:sz w:val="21"/>
        </w:rPr>
        <w:t>UAIF defines analytical and presentation scores, a severity level and a structured rationale. Provisional calibration must remain visible in the record.</w:t>
      </w:r>
    </w:p>
    <w:p>
      <w:pPr>
        <w:pStyle w:val="Heading2"/>
      </w:pPr>
      <w:r>
        <w:t>Are severity weights final?</w:t>
      </w:r>
    </w:p>
    <w:p>
      <w:r>
        <w:rPr>
          <w:rFonts w:ascii="Arial" w:hAnsi="Arial"/>
          <w:b w:val="0"/>
          <w:sz w:val="21"/>
        </w:rPr>
        <w:t>No. The supplied specifications identify important calibration and empirical-validation limitations. Provisional weights must not be treated as validated universal values.</w:t>
      </w:r>
    </w:p>
    <w:p>
      <w:pPr>
        <w:pStyle w:val="Heading2"/>
      </w:pPr>
      <w:r>
        <w:t>What is the difference between acute and chronic harm?</w:t>
      </w:r>
    </w:p>
    <w:p>
      <w:r>
        <w:rPr>
          <w:rFonts w:ascii="Arial" w:hAnsi="Arial"/>
          <w:b w:val="0"/>
          <w:sz w:val="21"/>
        </w:rPr>
        <w:t>Acute harm describes immediate realized effects. Chronic-harm fields identify longer-term or cumulative indicators and must not be treated as proof of realized long-term harm without evidence.</w:t>
      </w:r>
    </w:p>
    <w:p>
      <w:pPr>
        <w:pStyle w:val="Heading2"/>
      </w:pPr>
      <w:r>
        <w:t>Can a UAIF score determine regulatory reportability?</w:t>
      </w:r>
    </w:p>
    <w:p>
      <w:r>
        <w:rPr>
          <w:rFonts w:ascii="Arial" w:hAnsi="Arial"/>
          <w:b w:val="0"/>
          <w:sz w:val="21"/>
        </w:rPr>
        <w:t>No. Scores and regulatory-trigger fields provide technical routing assistance. Qualified legal and compliance personnel determine actual notification duties.</w:t>
      </w:r>
    </w:p>
    <w:p>
      <w:pPr>
        <w:pStyle w:val="Heading1"/>
      </w:pPr>
      <w:r>
        <w:t>Schema and technical implementation</w:t>
      </w:r>
    </w:p>
    <w:p>
      <w:pPr>
        <w:pStyle w:val="Heading2"/>
      </w:pPr>
      <w:r>
        <w:t>What is the UAIF JSON Schema?</w:t>
      </w:r>
    </w:p>
    <w:p>
      <w:r>
        <w:rPr>
          <w:rFonts w:ascii="Arial" w:hAnsi="Arial"/>
          <w:b w:val="0"/>
          <w:sz w:val="21"/>
        </w:rPr>
        <w:t>The public JSON Schema is the machine-readable structural companion to the Technical and Schema Specifications. It defines properties, types, required fields and conditional rules.</w:t>
      </w:r>
    </w:p>
    <w:p>
      <w:pPr>
        <w:pStyle w:val="Heading2"/>
      </w:pPr>
      <w:r>
        <w:t>Does schema validation establish conformance?</w:t>
      </w:r>
    </w:p>
    <w:p>
      <w:r>
        <w:rPr>
          <w:rFonts w:ascii="Arial" w:hAnsi="Arial"/>
          <w:b w:val="0"/>
          <w:sz w:val="21"/>
        </w:rPr>
        <w:t>No. Schema validation establishes structural validity only. It does not prove factual accuracy, evidence quality, legal sufficiency, operating effectiveness or certification.</w:t>
      </w:r>
    </w:p>
    <w:p>
      <w:pPr>
        <w:pStyle w:val="Heading2"/>
      </w:pPr>
      <w:r>
        <w:t>Where should the schema be published?</w:t>
      </w:r>
    </w:p>
    <w:p>
      <w:r>
        <w:rPr>
          <w:rFonts w:ascii="Arial" w:hAnsi="Arial"/>
          <w:b w:val="0"/>
          <w:sz w:val="21"/>
        </w:rPr>
        <w:t>The canonical machine-readable schema should be released in an official, version-controlled ODA3 repository with tags, checksums, examples, tests and release notes. Human-readable schema documentation should remain on this website.</w:t>
      </w:r>
    </w:p>
    <w:p>
      <w:pPr>
        <w:pStyle w:val="Heading2"/>
      </w:pPr>
      <w:r>
        <w:t>Is an official GitHub repository currently available?</w:t>
      </w:r>
    </w:p>
    <w:p>
      <w:r>
        <w:rPr>
          <w:rFonts w:ascii="Arial" w:hAnsi="Arial"/>
          <w:b w:val="0"/>
          <w:sz w:val="21"/>
        </w:rPr>
        <w:t>The supplied website source does not establish an approved public repository. The portal therefore does not invent or link to an unverified GitHub location.</w:t>
      </w:r>
    </w:p>
    <w:p>
      <w:pPr>
        <w:pStyle w:val="Heading2"/>
      </w:pPr>
      <w:r>
        <w:t>What happens when the schema changes?</w:t>
      </w:r>
    </w:p>
    <w:p>
      <w:r>
        <w:rPr>
          <w:rFonts w:ascii="Arial" w:hAnsi="Arial"/>
          <w:b w:val="0"/>
          <w:sz w:val="21"/>
        </w:rPr>
        <w:t>Implementations should pin a version, review compatibility notes, test migrations and retain the schema identifier and validation output used for every record.</w:t>
      </w:r>
    </w:p>
    <w:p>
      <w:pPr>
        <w:pStyle w:val="Heading2"/>
      </w:pPr>
      <w:r>
        <w:t>Are extension fields allowed?</w:t>
      </w:r>
    </w:p>
    <w:p>
      <w:r>
        <w:rPr>
          <w:rFonts w:ascii="Arial" w:hAnsi="Arial"/>
          <w:b w:val="0"/>
          <w:sz w:val="21"/>
        </w:rPr>
        <w:t>The schema provides an extension mechanism. Extensions must not override the meaning of canonical UAIF properties or be represented as normative UAIF fields.</w:t>
      </w:r>
    </w:p>
    <w:p>
      <w:pPr>
        <w:pStyle w:val="Heading2"/>
      </w:pPr>
      <w:r>
        <w:t>Is oda3-uaif publicly available?</w:t>
      </w:r>
    </w:p>
    <w:p>
      <w:r>
        <w:rPr>
          <w:rFonts w:ascii="Arial" w:hAnsi="Arial"/>
          <w:b w:val="0"/>
          <w:sz w:val="21"/>
        </w:rPr>
        <w:t>This website provides only a public capability and status overview. The operational Package Specification and implementation material are controlled, and no production package or repository availability is asserted.</w:t>
      </w:r>
    </w:p>
    <w:p>
      <w:pPr>
        <w:pStyle w:val="Heading1"/>
      </w:pPr>
      <w:r>
        <w:t>Adoption and profiles</w:t>
      </w:r>
    </w:p>
    <w:p>
      <w:pPr>
        <w:pStyle w:val="Heading2"/>
      </w:pPr>
      <w:r>
        <w:t>How should an organization start?</w:t>
      </w:r>
    </w:p>
    <w:p>
      <w:r>
        <w:rPr>
          <w:rFonts w:ascii="Arial" w:hAnsi="Arial"/>
          <w:b w:val="0"/>
          <w:sz w:val="21"/>
        </w:rPr>
        <w:t>Define the incident-recording purpose and system boundary, select the appropriate profile, map source evidence, validate representative records and document gaps before operational reliance.</w:t>
      </w:r>
    </w:p>
    <w:p>
      <w:pPr>
        <w:pStyle w:val="Heading2"/>
      </w:pPr>
      <w:r>
        <w:t>What conformance profiles are described?</w:t>
      </w:r>
    </w:p>
    <w:p>
      <w:r>
        <w:rPr>
          <w:rFonts w:ascii="Arial" w:hAnsi="Arial"/>
          <w:b w:val="0"/>
          <w:sz w:val="21"/>
        </w:rPr>
        <w:t>The source describes Core, Enterprise, Regulatory, SOC/SIEM and AI Security Extension use profiles. Teams should implement only the fields and rules applicable to the selected profile and version.</w:t>
      </w:r>
    </w:p>
    <w:p>
      <w:pPr>
        <w:pStyle w:val="Heading2"/>
      </w:pPr>
      <w:r>
        <w:t>Can UAIF be used independently?</w:t>
      </w:r>
    </w:p>
    <w:p>
      <w:r>
        <w:rPr>
          <w:rFonts w:ascii="Arial" w:hAnsi="Arial"/>
          <w:b w:val="0"/>
          <w:sz w:val="21"/>
        </w:rPr>
        <w:t>UAIF can support incident classification independently, but it is designed to complement GAISSF governance and AI-IRF response processes.</w:t>
      </w:r>
    </w:p>
    <w:p>
      <w:pPr>
        <w:pStyle w:val="Heading2"/>
      </w:pPr>
      <w:r>
        <w:t>Can small organizations adopt UAIF?</w:t>
      </w:r>
    </w:p>
    <w:p>
      <w:r>
        <w:rPr>
          <w:rFonts w:ascii="Arial" w:hAnsi="Arial"/>
          <w:b w:val="0"/>
          <w:sz w:val="21"/>
        </w:rPr>
        <w:t>Yes. A proportionate profile and limited incident scope can be used, provided the organization preserves required fields, evidence, versioning and limitations.</w:t>
      </w:r>
    </w:p>
    <w:p>
      <w:pPr>
        <w:pStyle w:val="Heading2"/>
      </w:pPr>
      <w:r>
        <w:t>Do organizations need consultants?</w:t>
      </w:r>
    </w:p>
    <w:p>
      <w:r>
        <w:rPr>
          <w:rFonts w:ascii="Arial" w:hAnsi="Arial"/>
          <w:b w:val="0"/>
          <w:sz w:val="21"/>
        </w:rPr>
        <w:t>No consultant is inherently required. Specialist legal, security, data or assurance advice may be appropriate for high-risk, regulated or complex deployments.</w:t>
      </w:r>
    </w:p>
    <w:p>
      <w:pPr>
        <w:pStyle w:val="Heading1"/>
      </w:pPr>
      <w:r>
        <w:t>Evidence, privacy and assurance</w:t>
      </w:r>
    </w:p>
    <w:p>
      <w:pPr>
        <w:pStyle w:val="Heading2"/>
      </w:pPr>
      <w:r>
        <w:t>What evidence should accompany a UAIF record?</w:t>
      </w:r>
    </w:p>
    <w:p>
      <w:r>
        <w:rPr>
          <w:rFonts w:ascii="Arial" w:hAnsi="Arial"/>
          <w:b w:val="0"/>
          <w:sz w:val="21"/>
        </w:rPr>
        <w:t>Retain source-system or analyst provenance, timestamps, relevant logs or records, schema-validation output, transformation history, uncertainty and reviewer rationale.</w:t>
      </w:r>
    </w:p>
    <w:p>
      <w:pPr>
        <w:pStyle w:val="Heading2"/>
      </w:pPr>
      <w:r>
        <w:t>Does UAIF require personal information?</w:t>
      </w:r>
    </w:p>
    <w:p>
      <w:r>
        <w:rPr>
          <w:rFonts w:ascii="Arial" w:hAnsi="Arial"/>
          <w:b w:val="0"/>
          <w:sz w:val="21"/>
        </w:rPr>
        <w:t>The public schema intentionally omits submitter PII fields. Organizations should minimize personal data and use lawful external references or hashes where appropriate.</w:t>
      </w:r>
    </w:p>
    <w:p>
      <w:pPr>
        <w:pStyle w:val="Heading2"/>
      </w:pPr>
      <w:r>
        <w:t>How should uncertainty be recorded?</w:t>
      </w:r>
    </w:p>
    <w:p>
      <w:r>
        <w:rPr>
          <w:rFonts w:ascii="Arial" w:hAnsi="Arial"/>
          <w:b w:val="0"/>
          <w:sz w:val="21"/>
        </w:rPr>
        <w:t>Use the applicable confidence fields, state assumptions, retain conflicting evidence and avoid converting an uncertain classification into a definitive legal or causal claim.</w:t>
      </w:r>
    </w:p>
    <w:p>
      <w:pPr>
        <w:pStyle w:val="Heading2"/>
      </w:pPr>
      <w:r>
        <w:t>Can internal teams assess UAIF use?</w:t>
      </w:r>
    </w:p>
    <w:p>
      <w:r>
        <w:rPr>
          <w:rFonts w:ascii="Arial" w:hAnsi="Arial"/>
          <w:b w:val="0"/>
          <w:sz w:val="21"/>
        </w:rPr>
        <w:t>Yes. Internal teams can test schema validity, semantic consistency, profile obligations, calculation traces and evidence provenance. That is not independent certification.</w:t>
      </w:r>
    </w:p>
    <w:p>
      <w:pPr>
        <w:pStyle w:val="Heading1"/>
      </w:pPr>
      <w:r>
        <w:t>Sector calibrations and mappings</w:t>
      </w:r>
    </w:p>
    <w:p>
      <w:pPr>
        <w:pStyle w:val="Heading2"/>
      </w:pPr>
      <w:r>
        <w:t>What are sector calibration packages?</w:t>
      </w:r>
    </w:p>
    <w:p>
      <w:r>
        <w:rPr>
          <w:rFonts w:ascii="Arial" w:hAnsi="Arial"/>
          <w:b w:val="0"/>
          <w:sz w:val="21"/>
        </w:rPr>
        <w:t>They adapt UAIF classification context to sector-specific harms and operating environments. The supplied packages are provisional controlled resources; public pages provide scope and limitations only.</w:t>
      </w:r>
    </w:p>
    <w:p>
      <w:pPr>
        <w:pStyle w:val="Heading2"/>
      </w:pPr>
      <w:r>
        <w:t>Why are the detailed calibrations controlled?</w:t>
      </w:r>
    </w:p>
    <w:p>
      <w:r>
        <w:rPr>
          <w:rFonts w:ascii="Arial" w:hAnsi="Arial"/>
          <w:b w:val="0"/>
          <w:sz w:val="21"/>
        </w:rPr>
        <w:t>Detailed weights, scoring implementation, evidence logic and maintenance material enable operational assessment and commercial delivery, so they require controlled access and applicable licence terms.</w:t>
      </w:r>
    </w:p>
    <w:p>
      <w:pPr>
        <w:pStyle w:val="Heading2"/>
      </w:pPr>
      <w:r>
        <w:t>Are UAIF crosswalks available?</w:t>
      </w:r>
    </w:p>
    <w:p>
      <w:r>
        <w:rPr>
          <w:rFonts w:ascii="Arial" w:hAnsi="Arial"/>
          <w:b w:val="0"/>
          <w:sz w:val="21"/>
        </w:rPr>
        <w:t>Crosswalk titles are tracked, but the current supplied set does not establish approved UAIF crosswalk publications. Planned titles are not represented as published.</w:t>
      </w:r>
    </w:p>
    <w:p>
      <w:pPr>
        <w:pStyle w:val="Heading2"/>
      </w:pPr>
      <w:r>
        <w:t>Does a mapping establish legal compliance?</w:t>
      </w:r>
    </w:p>
    <w:p>
      <w:r>
        <w:rPr>
          <w:rFonts w:ascii="Arial" w:hAnsi="Arial"/>
          <w:b w:val="0"/>
          <w:sz w:val="21"/>
        </w:rPr>
        <w:t>No. A mapping may demonstrate conceptual or requirement alignment but cannot establish implementation, legal compliance, regulatory acceptance or certification.</w:t>
      </w:r>
    </w:p>
    <w:p>
      <w:pPr>
        <w:pStyle w:val="Heading1"/>
      </w:pPr>
      <w:r>
        <w:t>Licensing, contribution and roadmap</w:t>
      </w:r>
    </w:p>
    <w:p>
      <w:pPr>
        <w:pStyle w:val="Heading2"/>
      </w:pPr>
      <w:r>
        <w:t>What licence applies to UAIF?</w:t>
      </w:r>
    </w:p>
    <w:p>
      <w:r>
        <w:rPr>
          <w:rFonts w:ascii="Arial" w:hAnsi="Arial"/>
          <w:b w:val="0"/>
          <w:sz w:val="21"/>
        </w:rPr>
        <w:t>Published UAIF materials identify the GAISSF Ecosystem Licence, GEL v1.0, as the governing public licence. Commercial use and controlled resources may require separate written authorization.</w:t>
      </w:r>
    </w:p>
    <w:p>
      <w:pPr>
        <w:pStyle w:val="Heading2"/>
      </w:pPr>
      <w:r>
        <w:t>Can software vendors embed UAIF?</w:t>
      </w:r>
    </w:p>
    <w:p>
      <w:r>
        <w:rPr>
          <w:rFonts w:ascii="Arial" w:hAnsi="Arial"/>
          <w:b w:val="0"/>
          <w:sz w:val="21"/>
        </w:rPr>
        <w:t>Vendors must review GEL v1.0 and any applicable commercial terms. Public access does not automatically authorize commercial embedding, marks, certification claims or controlled datasets.</w:t>
      </w:r>
    </w:p>
    <w:p>
      <w:pPr>
        <w:pStyle w:val="Heading2"/>
      </w:pPr>
      <w:r>
        <w:t>Can I contribute to UAIF today?</w:t>
      </w:r>
    </w:p>
    <w:p>
      <w:r>
        <w:rPr>
          <w:rFonts w:ascii="Arial" w:hAnsi="Arial"/>
          <w:b w:val="0"/>
          <w:sz w:val="21"/>
        </w:rPr>
        <w:t>The supplied CLA is incomplete and cannot be executed. No contribution should be represented as accepted under UAIF-CLA-002 until a complete approved ICLA/ECLA and contribution process are published.</w:t>
      </w:r>
    </w:p>
    <w:p>
      <w:pPr>
        <w:pStyle w:val="Heading2"/>
      </w:pPr>
      <w:r>
        <w:t>Is the UAIF IP Policy public?</w:t>
      </w:r>
    </w:p>
    <w:p>
      <w:r>
        <w:rPr>
          <w:rFonts w:ascii="Arial" w:hAnsi="Arial"/>
          <w:b w:val="0"/>
          <w:sz w:val="21"/>
        </w:rPr>
        <w:t>The policy rules on ownership, licensing, patent non-assertion, trademarks and contributor obligations should be public. Internal reconciliation and operational administration notes are excluded.</w:t>
      </w:r>
    </w:p>
    <w:p>
      <w:pPr>
        <w:pStyle w:val="Heading2"/>
      </w:pPr>
      <w:r>
        <w:t>Is the Defensive Publication Template public?</w:t>
      </w:r>
    </w:p>
    <w:p>
      <w:r>
        <w:rPr>
          <w:rFonts w:ascii="Arial" w:hAnsi="Arial"/>
          <w:b w:val="0"/>
          <w:sz w:val="21"/>
        </w:rPr>
        <w:t>The disclosure structure and non-assertion record template may be public. Internal review, authorization, repository submission and archive operations remain controlled.</w:t>
      </w:r>
    </w:p>
    <w:p>
      <w:pPr>
        <w:pStyle w:val="Heading2"/>
      </w:pPr>
      <w:r>
        <w:t>How will new UAIF publications be announced?</w:t>
      </w:r>
    </w:p>
    <w:p>
      <w:r>
        <w:rPr>
          <w:rFonts w:ascii="Arial" w:hAnsi="Arial"/>
          <w:b w:val="0"/>
          <w:sz w:val="21"/>
        </w:rPr>
        <w:t>Approved publications should appear in the UAIF Documentation Center and Publication Libraries with a document ID, version, status, access class, release note and applicable licence.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24" w:bottom="1152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535D69"/>
        <w:sz w:val="16"/>
      </w:rPr>
      <w:t>CONTACT_AT_ODA3_DOT_ORG  •  © 2026 ODA3 Pvt Ltd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535D69"/>
        <w:sz w:val="18"/>
      </w:rPr>
      <w:t>ODA3 INSTITUTE  |  UAIF PUBLICATION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81D3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0070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0070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81D3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