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UNIFIED AI INCIDENT FRAMEWORK</w:t>
        <w:br/>
        <w:t>UAIF™ v1.0</w:t>
      </w:r>
    </w:p>
    <w:p>
      <w:pPr>
        <w:jc w:val="center"/>
      </w:pPr>
      <w:r>
        <w:t>Technical Specification — Publication Candidate</w:t>
        <w:br/>
        <w:t>TCR-STD-002 | Q2 2026 | Licensed under GAISSF Ecosystem Licence (GEL v1.0) | © 2026 ODA3 Pvt Ltd</w:t>
      </w:r>
    </w:p>
    <w:p>
      <w:r>
        <w:t>Published by ODA3 Institute | Applied Research &amp; Advisory | AI Security | Standards Development | Certification</w:t>
      </w:r>
    </w:p>
    <w:p>
      <w:pPr>
        <w:pStyle w:val="Heading1"/>
      </w:pPr>
      <w:r>
        <w:t>Critical Status Notice</w:t>
      </w:r>
    </w:p>
    <w:p>
      <w:r>
        <w:t>UAIF™ v1.0 is a Pilot-Ready Specification Candidate. It is not a production regulatory submission instrument, certification scheme, or legal determination of reporting obligations. Sector-specific calibration, legal review, inter-rater reliability validation, and SIEM/GRC integration testing remain required before production use.</w:t>
      </w:r>
    </w:p>
    <w:p>
      <w:r>
        <w:t>Regulatory trigger logic provides technical routing assistance only. Legal counsel SHALL determine definitive compliance obligations, including EU AI Act Article 73 serious-incident reporting and any GDPR, NIS2, DORA, or sectoral obligations.</w:t>
      </w:r>
    </w:p>
    <w:p>
      <w:pPr>
        <w:pStyle w:val="Heading1"/>
      </w:pPr>
      <w:r>
        <w:t>1. Executive Summary</w:t>
      </w:r>
    </w:p>
    <w:p>
      <w:r>
        <w:t>UAIF™ provides a machine-readable incident interchange, classification, severity scoring, and conformance architecture for AI incidents. It is designed to reduce crosswalk friction across security operations, governance, regulatory routing, and assurance workflows.</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UAIF™ is</w:t>
            </w:r>
          </w:p>
        </w:tc>
        <w:tc>
          <w:tcPr>
            <w:tcW w:type="dxa" w:w="5112"/>
            <w:vAlign w:val="top"/>
            <w:shd w:fill="1F4E79"/>
          </w:tcPr>
          <w:p>
            <w:r>
              <w:rPr>
                <w:sz w:val="17"/>
              </w:rPr>
            </w:r>
            <w:r>
              <w:rPr>
                <w:b/>
                <w:color w:val="FFFFFF"/>
                <w:sz w:val="17"/>
              </w:rPr>
              <w:t>UAIF™ is not</w:t>
            </w:r>
          </w:p>
        </w:tc>
      </w:tr>
      <w:tr>
        <w:tc>
          <w:tcPr>
            <w:tcW w:type="dxa" w:w="5112"/>
            <w:vAlign w:val="top"/>
          </w:tcPr>
          <w:p>
            <w:r>
              <w:rPr>
                <w:sz w:val="17"/>
              </w:rPr>
            </w:r>
            <w:r>
              <w:rPr>
                <w:b w:val="0"/>
                <w:sz w:val="17"/>
              </w:rPr>
              <w:t>An incident interchange and classification framework for AI systems</w:t>
            </w:r>
          </w:p>
        </w:tc>
        <w:tc>
          <w:tcPr>
            <w:tcW w:type="dxa" w:w="5112"/>
            <w:vAlign w:val="top"/>
          </w:tcPr>
          <w:p>
            <w:r>
              <w:rPr>
                <w:sz w:val="17"/>
              </w:rPr>
            </w:r>
            <w:r>
              <w:rPr>
                <w:b w:val="0"/>
                <w:sz w:val="17"/>
              </w:rPr>
              <w:t>A universal AI governance or ethics framework</w:t>
            </w:r>
          </w:p>
        </w:tc>
      </w:tr>
      <w:tr>
        <w:tc>
          <w:tcPr>
            <w:tcW w:type="dxa" w:w="5112"/>
            <w:vAlign w:val="top"/>
          </w:tcPr>
          <w:p>
            <w:r>
              <w:rPr>
                <w:sz w:val="17"/>
              </w:rPr>
            </w:r>
            <w:r>
              <w:rPr>
                <w:b w:val="0"/>
                <w:sz w:val="17"/>
              </w:rPr>
              <w:t>A structured severity scoring methodology with documented limitations</w:t>
            </w:r>
          </w:p>
        </w:tc>
        <w:tc>
          <w:tcPr>
            <w:tcW w:type="dxa" w:w="5112"/>
            <w:vAlign w:val="top"/>
          </w:tcPr>
          <w:p>
            <w:r>
              <w:rPr>
                <w:sz w:val="17"/>
              </w:rPr>
            </w:r>
            <w:r>
              <w:rPr>
                <w:b w:val="0"/>
                <w:sz w:val="17"/>
              </w:rPr>
              <w:t>A safety certification scheme or legal risk assessment methodology</w:t>
            </w:r>
          </w:p>
        </w:tc>
      </w:tr>
      <w:tr>
        <w:tc>
          <w:tcPr>
            <w:tcW w:type="dxa" w:w="5112"/>
            <w:vAlign w:val="top"/>
          </w:tcPr>
          <w:p>
            <w:r>
              <w:rPr>
                <w:sz w:val="17"/>
              </w:rPr>
            </w:r>
            <w:r>
              <w:rPr>
                <w:b w:val="0"/>
                <w:sz w:val="17"/>
              </w:rPr>
              <w:t>A conformance-testing architecture for testable adoption</w:t>
            </w:r>
          </w:p>
        </w:tc>
        <w:tc>
          <w:tcPr>
            <w:tcW w:type="dxa" w:w="5112"/>
            <w:vAlign w:val="top"/>
          </w:tcPr>
          <w:p>
            <w:r>
              <w:rPr>
                <w:sz w:val="17"/>
              </w:rPr>
            </w:r>
            <w:r>
              <w:rPr>
                <w:b w:val="0"/>
                <w:sz w:val="17"/>
              </w:rPr>
              <w:t>A legal determination of regulatory applicability</w:t>
            </w:r>
          </w:p>
        </w:tc>
      </w:tr>
      <w:tr>
        <w:tc>
          <w:tcPr>
            <w:tcW w:type="dxa" w:w="5112"/>
            <w:vAlign w:val="top"/>
          </w:tcPr>
          <w:p>
            <w:r>
              <w:rPr>
                <w:sz w:val="17"/>
              </w:rPr>
            </w:r>
            <w:r>
              <w:rPr>
                <w:b w:val="0"/>
                <w:sz w:val="17"/>
              </w:rPr>
              <w:t>An interoperability layer for advisory cross-framework mapping</w:t>
            </w:r>
          </w:p>
        </w:tc>
        <w:tc>
          <w:tcPr>
            <w:tcW w:type="dxa" w:w="5112"/>
            <w:vAlign w:val="top"/>
          </w:tcPr>
          <w:p>
            <w:r>
              <w:rPr>
                <w:sz w:val="17"/>
              </w:rPr>
            </w:r>
            <w:r>
              <w:rPr>
                <w:b w:val="0"/>
                <w:sz w:val="17"/>
              </w:rPr>
              <w:t>An empirically validated scoring system before sector pilots</w:t>
            </w:r>
          </w:p>
        </w:tc>
      </w:tr>
    </w:tbl>
    <w:p/>
    <w:p>
      <w:pPr>
        <w:pStyle w:val="Heading2"/>
      </w:pPr>
      <w:r>
        <w:t>1.1A Notably Absent</w:t>
      </w:r>
    </w:p>
    <w:p>
      <w:pPr>
        <w:pStyle w:val="ListBullet"/>
      </w:pPr>
      <w:r>
        <w:t>No empirical claim that default harm weights are sector-validated.</w:t>
      </w:r>
    </w:p>
    <w:p>
      <w:pPr>
        <w:pStyle w:val="ListBullet"/>
      </w:pPr>
      <w:r>
        <w:t>No certification, audit authority, or licence to claim UAIF Certified status.</w:t>
      </w:r>
    </w:p>
    <w:p>
      <w:pPr>
        <w:pStyle w:val="ListBullet"/>
      </w:pPr>
      <w:r>
        <w:t>No legal determination of EU AI Act Article 73, GDPR, NIS2, DORA, or sectoral reporting obligations.</w:t>
      </w:r>
    </w:p>
    <w:p>
      <w:pPr>
        <w:pStyle w:val="ListBullet"/>
      </w:pPr>
      <w:r>
        <w:t>No operational SIEM/GRC integration warranty before target-platform testing.</w:t>
      </w:r>
    </w:p>
    <w:p>
      <w:pPr>
        <w:pStyle w:val="ListBullet"/>
      </w:pPr>
      <w:r>
        <w:t>No proprietary sector calibration packages or confidential pilot datasets.</w:t>
      </w:r>
    </w:p>
    <w:p>
      <w:pPr>
        <w:pStyle w:val="Heading2"/>
      </w:pPr>
      <w:r>
        <w:t>1.2 Primary Outputs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shd w:fill="1F4E79"/>
          </w:tcPr>
          <w:p>
            <w:r>
              <w:rPr>
                <w:sz w:val="17"/>
              </w:rPr>
            </w:r>
            <w:r>
              <w:rPr>
                <w:b/>
                <w:color w:val="FFFFFF"/>
                <w:sz w:val="17"/>
              </w:rPr>
              <w:t>Output Field</w:t>
            </w:r>
          </w:p>
        </w:tc>
        <w:tc>
          <w:tcPr>
            <w:tcW w:type="dxa" w:w="3408"/>
            <w:vAlign w:val="top"/>
            <w:shd w:fill="1F4E79"/>
          </w:tcPr>
          <w:p>
            <w:r>
              <w:rPr>
                <w:sz w:val="17"/>
              </w:rPr>
            </w:r>
            <w:r>
              <w:rPr>
                <w:b/>
                <w:color w:val="FFFFFF"/>
                <w:sz w:val="17"/>
              </w:rPr>
              <w:t>Type</w:t>
            </w:r>
          </w:p>
        </w:tc>
        <w:tc>
          <w:tcPr>
            <w:tcW w:type="dxa" w:w="3408"/>
            <w:vAlign w:val="top"/>
            <w:shd w:fill="1F4E79"/>
          </w:tcPr>
          <w:p>
            <w:r>
              <w:rPr>
                <w:sz w:val="17"/>
              </w:rPr>
            </w:r>
            <w:r>
              <w:rPr>
                <w:b/>
                <w:color w:val="FFFFFF"/>
                <w:sz w:val="17"/>
              </w:rPr>
              <w:t>Purpose</w:t>
            </w:r>
          </w:p>
        </w:tc>
      </w:tr>
      <w:tr>
        <w:tc>
          <w:tcPr>
            <w:tcW w:type="dxa" w:w="3408"/>
            <w:vAlign w:val="top"/>
          </w:tcPr>
          <w:p>
            <w:r>
              <w:rPr>
                <w:sz w:val="17"/>
              </w:rPr>
            </w:r>
            <w:r>
              <w:rPr>
                <w:b w:val="0"/>
                <w:sz w:val="17"/>
              </w:rPr>
              <w:t>severity_analytical_score</w:t>
            </w:r>
          </w:p>
        </w:tc>
        <w:tc>
          <w:tcPr>
            <w:tcW w:type="dxa" w:w="3408"/>
            <w:vAlign w:val="top"/>
          </w:tcPr>
          <w:p>
            <w:r>
              <w:rPr>
                <w:sz w:val="17"/>
              </w:rPr>
            </w:r>
            <w:r>
              <w:rPr>
                <w:b w:val="0"/>
                <w:sz w:val="17"/>
              </w:rPr>
              <w:t>Float 0.0-10.0</w:t>
            </w:r>
          </w:p>
        </w:tc>
        <w:tc>
          <w:tcPr>
            <w:tcW w:type="dxa" w:w="3408"/>
            <w:vAlign w:val="top"/>
          </w:tcPr>
          <w:p>
            <w:r>
              <w:rPr>
                <w:sz w:val="17"/>
              </w:rPr>
            </w:r>
            <w:r>
              <w:rPr>
                <w:b w:val="0"/>
                <w:sz w:val="17"/>
              </w:rPr>
              <w:t>Primary analytical metric; pre-impact, pre-presentation differentiation.</w:t>
            </w:r>
          </w:p>
        </w:tc>
      </w:tr>
      <w:tr>
        <w:tc>
          <w:tcPr>
            <w:tcW w:type="dxa" w:w="3408"/>
            <w:vAlign w:val="top"/>
          </w:tcPr>
          <w:p>
            <w:r>
              <w:rPr>
                <w:sz w:val="17"/>
              </w:rPr>
            </w:r>
            <w:r>
              <w:rPr>
                <w:b w:val="0"/>
                <w:sz w:val="17"/>
              </w:rPr>
              <w:t>severity_presentation_score</w:t>
            </w:r>
          </w:p>
        </w:tc>
        <w:tc>
          <w:tcPr>
            <w:tcW w:type="dxa" w:w="3408"/>
            <w:vAlign w:val="top"/>
          </w:tcPr>
          <w:p>
            <w:r>
              <w:rPr>
                <w:sz w:val="17"/>
              </w:rPr>
            </w:r>
            <w:r>
              <w:rPr>
                <w:b w:val="0"/>
                <w:sz w:val="17"/>
              </w:rPr>
              <w:t>Float 0.0-10.0</w:t>
            </w:r>
          </w:p>
        </w:tc>
        <w:tc>
          <w:tcPr>
            <w:tcW w:type="dxa" w:w="3408"/>
            <w:vAlign w:val="top"/>
          </w:tcPr>
          <w:p>
            <w:r>
              <w:rPr>
                <w:sz w:val="17"/>
              </w:rPr>
            </w:r>
            <w:r>
              <w:rPr>
                <w:b w:val="0"/>
                <w:sz w:val="17"/>
              </w:rPr>
              <w:t>Operational presentation metric used for triage and regulatory proxy routing.</w:t>
            </w:r>
          </w:p>
        </w:tc>
      </w:tr>
      <w:tr>
        <w:tc>
          <w:tcPr>
            <w:tcW w:type="dxa" w:w="3408"/>
            <w:vAlign w:val="top"/>
          </w:tcPr>
          <w:p>
            <w:r>
              <w:rPr>
                <w:sz w:val="17"/>
              </w:rPr>
            </w:r>
            <w:r>
              <w:rPr>
                <w:b w:val="0"/>
                <w:sz w:val="17"/>
              </w:rPr>
              <w:t>severity_level</w:t>
            </w:r>
          </w:p>
        </w:tc>
        <w:tc>
          <w:tcPr>
            <w:tcW w:type="dxa" w:w="3408"/>
            <w:vAlign w:val="top"/>
          </w:tcPr>
          <w:p>
            <w:r>
              <w:rPr>
                <w:sz w:val="17"/>
              </w:rPr>
            </w:r>
            <w:r>
              <w:rPr>
                <w:b w:val="0"/>
                <w:sz w:val="17"/>
              </w:rPr>
              <w:t>Integer 1-5</w:t>
            </w:r>
          </w:p>
        </w:tc>
        <w:tc>
          <w:tcPr>
            <w:tcW w:type="dxa" w:w="3408"/>
            <w:vAlign w:val="top"/>
          </w:tcPr>
          <w:p>
            <w:r>
              <w:rPr>
                <w:sz w:val="17"/>
              </w:rPr>
            </w:r>
            <w:r>
              <w:rPr>
                <w:b w:val="0"/>
                <w:sz w:val="17"/>
              </w:rPr>
              <w:t>Operational triage tier mapped from presentation score.</w:t>
            </w:r>
          </w:p>
        </w:tc>
      </w:tr>
      <w:tr>
        <w:tc>
          <w:tcPr>
            <w:tcW w:type="dxa" w:w="3408"/>
            <w:vAlign w:val="top"/>
          </w:tcPr>
          <w:p>
            <w:r>
              <w:rPr>
                <w:sz w:val="17"/>
              </w:rPr>
            </w:r>
            <w:r>
              <w:rPr>
                <w:b w:val="0"/>
                <w:sz w:val="17"/>
              </w:rPr>
              <w:t>severity_rationale</w:t>
            </w:r>
          </w:p>
        </w:tc>
        <w:tc>
          <w:tcPr>
            <w:tcW w:type="dxa" w:w="3408"/>
            <w:vAlign w:val="top"/>
          </w:tcPr>
          <w:p>
            <w:r>
              <w:rPr>
                <w:sz w:val="17"/>
              </w:rPr>
            </w:r>
            <w:r>
              <w:rPr>
                <w:b w:val="0"/>
                <w:sz w:val="17"/>
              </w:rPr>
              <w:t>JSON object</w:t>
            </w:r>
          </w:p>
        </w:tc>
        <w:tc>
          <w:tcPr>
            <w:tcW w:type="dxa" w:w="3408"/>
            <w:vAlign w:val="top"/>
          </w:tcPr>
          <w:p>
            <w:r>
              <w:rPr>
                <w:sz w:val="17"/>
              </w:rPr>
            </w:r>
            <w:r>
              <w:rPr>
                <w:b w:val="0"/>
                <w:sz w:val="17"/>
              </w:rPr>
              <w:t>Machine-auditable audit trail for every calculation component.</w:t>
            </w:r>
          </w:p>
        </w:tc>
      </w:tr>
      <w:tr>
        <w:tc>
          <w:tcPr>
            <w:tcW w:type="dxa" w:w="3408"/>
            <w:vAlign w:val="top"/>
          </w:tcPr>
          <w:p>
            <w:r>
              <w:rPr>
                <w:sz w:val="17"/>
              </w:rPr>
            </w:r>
            <w:r>
              <w:rPr>
                <w:b w:val="0"/>
                <w:sz w:val="17"/>
              </w:rPr>
              <w:t>regulatory_trigger</w:t>
            </w:r>
          </w:p>
        </w:tc>
        <w:tc>
          <w:tcPr>
            <w:tcW w:type="dxa" w:w="3408"/>
            <w:vAlign w:val="top"/>
          </w:tcPr>
          <w:p>
            <w:r>
              <w:rPr>
                <w:sz w:val="17"/>
              </w:rPr>
            </w:r>
            <w:r>
              <w:rPr>
                <w:b w:val="0"/>
                <w:sz w:val="17"/>
              </w:rPr>
              <w:t>Boolean</w:t>
            </w:r>
          </w:p>
        </w:tc>
        <w:tc>
          <w:tcPr>
            <w:tcW w:type="dxa" w:w="3408"/>
            <w:vAlign w:val="top"/>
          </w:tcPr>
          <w:p>
            <w:r>
              <w:rPr>
                <w:sz w:val="17"/>
              </w:rPr>
            </w:r>
            <w:r>
              <w:rPr>
                <w:b w:val="0"/>
                <w:sz w:val="17"/>
              </w:rPr>
              <w:t>Technical routing flag; not legal determination.</w:t>
            </w:r>
          </w:p>
        </w:tc>
      </w:tr>
      <w:tr>
        <w:tc>
          <w:tcPr>
            <w:tcW w:type="dxa" w:w="3408"/>
            <w:vAlign w:val="top"/>
          </w:tcPr>
          <w:p>
            <w:r>
              <w:rPr>
                <w:sz w:val="17"/>
              </w:rPr>
            </w:r>
            <w:r>
              <w:rPr>
                <w:b w:val="0"/>
                <w:sz w:val="17"/>
              </w:rPr>
              <w:t>trigger_confidence</w:t>
            </w:r>
          </w:p>
        </w:tc>
        <w:tc>
          <w:tcPr>
            <w:tcW w:type="dxa" w:w="3408"/>
            <w:vAlign w:val="top"/>
          </w:tcPr>
          <w:p>
            <w:r>
              <w:rPr>
                <w:sz w:val="17"/>
              </w:rPr>
            </w:r>
            <w:r>
              <w:rPr>
                <w:b w:val="0"/>
                <w:sz w:val="17"/>
              </w:rPr>
              <w:t>LOW | MEDIUM | HIGH</w:t>
            </w:r>
          </w:p>
        </w:tc>
        <w:tc>
          <w:tcPr>
            <w:tcW w:type="dxa" w:w="3408"/>
            <w:vAlign w:val="top"/>
          </w:tcPr>
          <w:p>
            <w:r>
              <w:rPr>
                <w:sz w:val="17"/>
              </w:rPr>
            </w:r>
            <w:r>
              <w:rPr>
                <w:b w:val="0"/>
                <w:sz w:val="17"/>
              </w:rPr>
              <w:t>Calibration-aware confidence band.</w:t>
            </w:r>
          </w:p>
        </w:tc>
      </w:tr>
      <w:tr>
        <w:tc>
          <w:tcPr>
            <w:tcW w:type="dxa" w:w="3408"/>
            <w:vAlign w:val="top"/>
          </w:tcPr>
          <w:p>
            <w:r>
              <w:rPr>
                <w:sz w:val="17"/>
              </w:rPr>
            </w:r>
            <w:r>
              <w:rPr>
                <w:b w:val="0"/>
                <w:sz w:val="17"/>
              </w:rPr>
              <w:t>human_review_recommended</w:t>
            </w:r>
          </w:p>
        </w:tc>
        <w:tc>
          <w:tcPr>
            <w:tcW w:type="dxa" w:w="3408"/>
            <w:vAlign w:val="top"/>
          </w:tcPr>
          <w:p>
            <w:r>
              <w:rPr>
                <w:sz w:val="17"/>
              </w:rPr>
            </w:r>
            <w:r>
              <w:rPr>
                <w:b w:val="0"/>
                <w:sz w:val="17"/>
              </w:rPr>
              <w:t>Boolean</w:t>
            </w:r>
          </w:p>
        </w:tc>
        <w:tc>
          <w:tcPr>
            <w:tcW w:type="dxa" w:w="3408"/>
            <w:vAlign w:val="top"/>
          </w:tcPr>
          <w:p>
            <w:r>
              <w:rPr>
                <w:sz w:val="17"/>
              </w:rPr>
            </w:r>
            <w:r>
              <w:rPr>
                <w:b w:val="0"/>
                <w:sz w:val="17"/>
              </w:rPr>
              <w:t>Human review flag for uncertain or low-confidence triggers.</w:t>
            </w:r>
          </w:p>
        </w:tc>
      </w:tr>
    </w:tbl>
    <w:p/>
    <w:p>
      <w:pPr>
        <w:pStyle w:val="Heading1"/>
      </w:pPr>
      <w:r>
        <w:t>2. UAIF 7-Layer Architecture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top"/>
            <w:shd w:fill="1F4E79"/>
          </w:tcPr>
          <w:p>
            <w:r>
              <w:rPr>
                <w:sz w:val="17"/>
              </w:rPr>
            </w:r>
            <w:r>
              <w:rPr>
                <w:b/>
                <w:color w:val="FFFFFF"/>
                <w:sz w:val="17"/>
              </w:rPr>
              <w:t>Layer</w:t>
            </w:r>
          </w:p>
        </w:tc>
        <w:tc>
          <w:tcPr>
            <w:tcW w:type="dxa" w:w="2556"/>
            <w:vAlign w:val="top"/>
            <w:shd w:fill="1F4E79"/>
          </w:tcPr>
          <w:p>
            <w:r>
              <w:rPr>
                <w:sz w:val="17"/>
              </w:rPr>
            </w:r>
            <w:r>
              <w:rPr>
                <w:b/>
                <w:color w:val="FFFFFF"/>
                <w:sz w:val="17"/>
              </w:rPr>
              <w:t>Name</w:t>
            </w:r>
          </w:p>
        </w:tc>
        <w:tc>
          <w:tcPr>
            <w:tcW w:type="dxa" w:w="2556"/>
            <w:vAlign w:val="top"/>
            <w:shd w:fill="1F4E79"/>
          </w:tcPr>
          <w:p>
            <w:r>
              <w:rPr>
                <w:sz w:val="17"/>
              </w:rPr>
            </w:r>
            <w:r>
              <w:rPr>
                <w:b/>
                <w:color w:val="FFFFFF"/>
                <w:sz w:val="17"/>
              </w:rPr>
              <w:t>Purpose</w:t>
            </w:r>
          </w:p>
        </w:tc>
        <w:tc>
          <w:tcPr>
            <w:tcW w:type="dxa" w:w="2556"/>
            <w:vAlign w:val="top"/>
            <w:shd w:fill="1F4E79"/>
          </w:tcPr>
          <w:p>
            <w:r>
              <w:rPr>
                <w:sz w:val="17"/>
              </w:rPr>
            </w:r>
            <w:r>
              <w:rPr>
                <w:b/>
                <w:color w:val="FFFFFF"/>
                <w:sz w:val="17"/>
              </w:rPr>
              <w:t>Representative Fields</w:t>
            </w:r>
          </w:p>
        </w:tc>
      </w:tr>
      <w:tr>
        <w:tc>
          <w:tcPr>
            <w:tcW w:type="dxa" w:w="2556"/>
            <w:vAlign w:val="top"/>
          </w:tcPr>
          <w:p>
            <w:r>
              <w:rPr>
                <w:sz w:val="17"/>
              </w:rPr>
            </w:r>
            <w:r>
              <w:rPr>
                <w:b w:val="0"/>
                <w:sz w:val="17"/>
              </w:rPr>
              <w:t>L0</w:t>
            </w:r>
          </w:p>
        </w:tc>
        <w:tc>
          <w:tcPr>
            <w:tcW w:type="dxa" w:w="2556"/>
            <w:vAlign w:val="top"/>
          </w:tcPr>
          <w:p>
            <w:r>
              <w:rPr>
                <w:sz w:val="17"/>
              </w:rPr>
            </w:r>
            <w:r>
              <w:rPr>
                <w:b w:val="0"/>
                <w:sz w:val="17"/>
              </w:rPr>
              <w:t>Incident Identity &amp; Workflow</w:t>
            </w:r>
          </w:p>
        </w:tc>
        <w:tc>
          <w:tcPr>
            <w:tcW w:type="dxa" w:w="2556"/>
            <w:vAlign w:val="top"/>
          </w:tcPr>
          <w:p>
            <w:r>
              <w:rPr>
                <w:sz w:val="17"/>
              </w:rPr>
            </w:r>
            <w:r>
              <w:rPr>
                <w:b w:val="0"/>
                <w:sz w:val="17"/>
              </w:rPr>
              <w:t>Deduplication, audit trail, workflow state</w:t>
            </w:r>
          </w:p>
        </w:tc>
        <w:tc>
          <w:tcPr>
            <w:tcW w:type="dxa" w:w="2556"/>
            <w:vAlign w:val="top"/>
          </w:tcPr>
          <w:p>
            <w:r>
              <w:rPr>
                <w:sz w:val="17"/>
              </w:rPr>
            </w:r>
            <w:r>
              <w:rPr>
                <w:b w:val="0"/>
                <w:sz w:val="17"/>
              </w:rPr>
              <w:t>incident_uuid, reporting_timestamp, reporter_confidence_level, remediation_status, deduplication_hash</w:t>
            </w:r>
          </w:p>
        </w:tc>
      </w:tr>
      <w:tr>
        <w:tc>
          <w:tcPr>
            <w:tcW w:type="dxa" w:w="2556"/>
            <w:vAlign w:val="top"/>
          </w:tcPr>
          <w:p>
            <w:r>
              <w:rPr>
                <w:sz w:val="17"/>
              </w:rPr>
            </w:r>
            <w:r>
              <w:rPr>
                <w:b w:val="0"/>
                <w:sz w:val="17"/>
              </w:rPr>
              <w:t>L1</w:t>
            </w:r>
          </w:p>
        </w:tc>
        <w:tc>
          <w:tcPr>
            <w:tcW w:type="dxa" w:w="2556"/>
            <w:vAlign w:val="top"/>
          </w:tcPr>
          <w:p>
            <w:r>
              <w:rPr>
                <w:sz w:val="17"/>
              </w:rPr>
            </w:r>
            <w:r>
              <w:rPr>
                <w:b w:val="0"/>
                <w:sz w:val="17"/>
              </w:rPr>
              <w:t>Causal Separation Chain</w:t>
            </w:r>
          </w:p>
        </w:tc>
        <w:tc>
          <w:tcPr>
            <w:tcW w:type="dxa" w:w="2556"/>
            <w:vAlign w:val="top"/>
          </w:tcPr>
          <w:p>
            <w:r>
              <w:rPr>
                <w:sz w:val="17"/>
              </w:rPr>
            </w:r>
            <w:r>
              <w:rPr>
                <w:b w:val="0"/>
                <w:sz w:val="17"/>
              </w:rPr>
              <w:t>Isolate origin from manifestation</w:t>
            </w:r>
          </w:p>
        </w:tc>
        <w:tc>
          <w:tcPr>
            <w:tcW w:type="dxa" w:w="2556"/>
            <w:vAlign w:val="top"/>
          </w:tcPr>
          <w:p>
            <w:r>
              <w:rPr>
                <w:sz w:val="17"/>
              </w:rPr>
            </w:r>
            <w:r>
              <w:rPr>
                <w:b w:val="0"/>
                <w:sz w:val="17"/>
              </w:rPr>
              <w:t>root_cause_primary_domain, root_cause_specific_type, root_cause_confidence, exploit_path_description</w:t>
            </w:r>
          </w:p>
        </w:tc>
      </w:tr>
      <w:tr>
        <w:tc>
          <w:tcPr>
            <w:tcW w:type="dxa" w:w="2556"/>
            <w:vAlign w:val="top"/>
          </w:tcPr>
          <w:p>
            <w:r>
              <w:rPr>
                <w:sz w:val="17"/>
              </w:rPr>
            </w:r>
            <w:r>
              <w:rPr>
                <w:b w:val="0"/>
                <w:sz w:val="17"/>
              </w:rPr>
              <w:t>L2</w:t>
            </w:r>
          </w:p>
        </w:tc>
        <w:tc>
          <w:tcPr>
            <w:tcW w:type="dxa" w:w="2556"/>
            <w:vAlign w:val="top"/>
          </w:tcPr>
          <w:p>
            <w:r>
              <w:rPr>
                <w:sz w:val="17"/>
              </w:rPr>
            </w:r>
            <w:r>
              <w:rPr>
                <w:b w:val="0"/>
                <w:sz w:val="17"/>
              </w:rPr>
              <w:t>Severity Scoring</w:t>
            </w:r>
          </w:p>
        </w:tc>
        <w:tc>
          <w:tcPr>
            <w:tcW w:type="dxa" w:w="2556"/>
            <w:vAlign w:val="top"/>
          </w:tcPr>
          <w:p>
            <w:r>
              <w:rPr>
                <w:sz w:val="17"/>
              </w:rPr>
            </w:r>
            <w:r>
              <w:rPr>
                <w:b w:val="0"/>
                <w:sz w:val="17"/>
              </w:rPr>
              <w:t>Impact-dominant severity with transparent limits</w:t>
            </w:r>
          </w:p>
        </w:tc>
        <w:tc>
          <w:tcPr>
            <w:tcW w:type="dxa" w:w="2556"/>
            <w:vAlign w:val="top"/>
          </w:tcPr>
          <w:p>
            <w:r>
              <w:rPr>
                <w:sz w:val="17"/>
              </w:rPr>
            </w:r>
            <w:r>
              <w:rPr>
                <w:b w:val="0"/>
                <w:sz w:val="17"/>
              </w:rPr>
              <w:t>severity_analytical_score, severity_presentation_score, severity_level, severity_rationale</w:t>
            </w:r>
          </w:p>
        </w:tc>
      </w:tr>
      <w:tr>
        <w:tc>
          <w:tcPr>
            <w:tcW w:type="dxa" w:w="2556"/>
            <w:vAlign w:val="top"/>
          </w:tcPr>
          <w:p>
            <w:r>
              <w:rPr>
                <w:sz w:val="17"/>
              </w:rPr>
            </w:r>
            <w:r>
              <w:rPr>
                <w:b w:val="0"/>
                <w:sz w:val="17"/>
              </w:rPr>
              <w:t>L3</w:t>
            </w:r>
          </w:p>
        </w:tc>
        <w:tc>
          <w:tcPr>
            <w:tcW w:type="dxa" w:w="2556"/>
            <w:vAlign w:val="top"/>
          </w:tcPr>
          <w:p>
            <w:r>
              <w:rPr>
                <w:sz w:val="17"/>
              </w:rPr>
            </w:r>
            <w:r>
              <w:rPr>
                <w:b w:val="0"/>
                <w:sz w:val="17"/>
              </w:rPr>
              <w:t>Acute vs Chronic Harm</w:t>
            </w:r>
          </w:p>
        </w:tc>
        <w:tc>
          <w:tcPr>
            <w:tcW w:type="dxa" w:w="2556"/>
            <w:vAlign w:val="top"/>
          </w:tcPr>
          <w:p>
            <w:r>
              <w:rPr>
                <w:sz w:val="17"/>
              </w:rPr>
            </w:r>
            <w:r>
              <w:rPr>
                <w:b w:val="0"/>
                <w:sz w:val="17"/>
              </w:rPr>
              <w:t>Immediate impact and long-term degradation</w:t>
            </w:r>
          </w:p>
        </w:tc>
        <w:tc>
          <w:tcPr>
            <w:tcW w:type="dxa" w:w="2556"/>
            <w:vAlign w:val="top"/>
          </w:tcPr>
          <w:p>
            <w:r>
              <w:rPr>
                <w:sz w:val="17"/>
              </w:rPr>
            </w:r>
            <w:r>
              <w:rPr>
                <w:b w:val="0"/>
                <w:sz w:val="17"/>
              </w:rPr>
              <w:t>harm_acute, harm_chronic_proxy, realized_harm_categories, cumulative_bias_index</w:t>
            </w:r>
          </w:p>
        </w:tc>
      </w:tr>
      <w:tr>
        <w:tc>
          <w:tcPr>
            <w:tcW w:type="dxa" w:w="2556"/>
            <w:vAlign w:val="top"/>
          </w:tcPr>
          <w:p>
            <w:r>
              <w:rPr>
                <w:sz w:val="17"/>
              </w:rPr>
            </w:r>
            <w:r>
              <w:rPr>
                <w:b w:val="0"/>
                <w:sz w:val="17"/>
              </w:rPr>
              <w:t>L4</w:t>
            </w:r>
          </w:p>
        </w:tc>
        <w:tc>
          <w:tcPr>
            <w:tcW w:type="dxa" w:w="2556"/>
            <w:vAlign w:val="top"/>
          </w:tcPr>
          <w:p>
            <w:r>
              <w:rPr>
                <w:sz w:val="17"/>
              </w:rPr>
            </w:r>
            <w:r>
              <w:rPr>
                <w:b w:val="0"/>
                <w:sz w:val="17"/>
              </w:rPr>
              <w:t>Incident vs Vulnerability</w:t>
            </w:r>
          </w:p>
        </w:tc>
        <w:tc>
          <w:tcPr>
            <w:tcW w:type="dxa" w:w="2556"/>
            <w:vAlign w:val="top"/>
          </w:tcPr>
          <w:p>
            <w:r>
              <w:rPr>
                <w:sz w:val="17"/>
              </w:rPr>
            </w:r>
            <w:r>
              <w:rPr>
                <w:b w:val="0"/>
                <w:sz w:val="17"/>
              </w:rPr>
              <w:t>Static exposures vs dynamic occurrences</w:t>
            </w:r>
          </w:p>
        </w:tc>
        <w:tc>
          <w:tcPr>
            <w:tcW w:type="dxa" w:w="2556"/>
            <w:vAlign w:val="top"/>
          </w:tcPr>
          <w:p>
            <w:r>
              <w:rPr>
                <w:sz w:val="17"/>
              </w:rPr>
            </w:r>
            <w:r>
              <w:rPr>
                <w:b w:val="0"/>
                <w:sz w:val="17"/>
              </w:rPr>
              <w:t>record_type, linked_vulnerability_id, exposure_duration_hours</w:t>
            </w:r>
          </w:p>
        </w:tc>
      </w:tr>
      <w:tr>
        <w:tc>
          <w:tcPr>
            <w:tcW w:type="dxa" w:w="2556"/>
            <w:vAlign w:val="top"/>
          </w:tcPr>
          <w:p>
            <w:r>
              <w:rPr>
                <w:sz w:val="17"/>
              </w:rPr>
            </w:r>
            <w:r>
              <w:rPr>
                <w:b w:val="0"/>
                <w:sz w:val="17"/>
              </w:rPr>
              <w:t>L5</w:t>
            </w:r>
          </w:p>
        </w:tc>
        <w:tc>
          <w:tcPr>
            <w:tcW w:type="dxa" w:w="2556"/>
            <w:vAlign w:val="top"/>
          </w:tcPr>
          <w:p>
            <w:r>
              <w:rPr>
                <w:sz w:val="17"/>
              </w:rPr>
            </w:r>
            <w:r>
              <w:rPr>
                <w:b w:val="0"/>
                <w:sz w:val="17"/>
              </w:rPr>
              <w:t>Generative, Agentic &amp; Control Plane</w:t>
            </w:r>
          </w:p>
        </w:tc>
        <w:tc>
          <w:tcPr>
            <w:tcW w:type="dxa" w:w="2556"/>
            <w:vAlign w:val="top"/>
          </w:tcPr>
          <w:p>
            <w:r>
              <w:rPr>
                <w:sz w:val="17"/>
              </w:rPr>
            </w:r>
            <w:r>
              <w:rPr>
                <w:b w:val="0"/>
                <w:sz w:val="17"/>
              </w:rPr>
              <w:t>RAG leakage, hallucination, agent escalation, MCP, OAuth, policy enforcement</w:t>
            </w:r>
          </w:p>
        </w:tc>
        <w:tc>
          <w:tcPr>
            <w:tcW w:type="dxa" w:w="2556"/>
            <w:vAlign w:val="top"/>
          </w:tcPr>
          <w:p>
            <w:r>
              <w:rPr>
                <w:sz w:val="17"/>
              </w:rPr>
            </w:r>
            <w:r>
              <w:rPr>
                <w:b w:val="0"/>
                <w:sz w:val="17"/>
              </w:rPr>
              <w:t>ai_system_type, non_adversarial_failure_type, agent_escalation_chain, mcp_endpoint_ids, oauth_pivot_chain, policy_enforcement_point</w:t>
            </w:r>
          </w:p>
        </w:tc>
      </w:tr>
      <w:tr>
        <w:tc>
          <w:tcPr>
            <w:tcW w:type="dxa" w:w="2556"/>
            <w:vAlign w:val="top"/>
          </w:tcPr>
          <w:p>
            <w:r>
              <w:rPr>
                <w:sz w:val="17"/>
              </w:rPr>
            </w:r>
            <w:r>
              <w:rPr>
                <w:b w:val="0"/>
                <w:sz w:val="17"/>
              </w:rPr>
              <w:t>L6</w:t>
            </w:r>
          </w:p>
        </w:tc>
        <w:tc>
          <w:tcPr>
            <w:tcW w:type="dxa" w:w="2556"/>
            <w:vAlign w:val="top"/>
          </w:tcPr>
          <w:p>
            <w:r>
              <w:rPr>
                <w:sz w:val="17"/>
              </w:rPr>
            </w:r>
            <w:r>
              <w:rPr>
                <w:b w:val="0"/>
                <w:sz w:val="17"/>
              </w:rPr>
              <w:t>Regulatory &amp; Cross-Sector Metadata</w:t>
            </w:r>
          </w:p>
        </w:tc>
        <w:tc>
          <w:tcPr>
            <w:tcW w:type="dxa" w:w="2556"/>
            <w:vAlign w:val="top"/>
          </w:tcPr>
          <w:p>
            <w:r>
              <w:rPr>
                <w:sz w:val="17"/>
              </w:rPr>
            </w:r>
            <w:r>
              <w:rPr>
                <w:b w:val="0"/>
                <w:sz w:val="17"/>
              </w:rPr>
              <w:t>Jurisdictional routing and sector classification</w:t>
            </w:r>
          </w:p>
        </w:tc>
        <w:tc>
          <w:tcPr>
            <w:tcW w:type="dxa" w:w="2556"/>
            <w:vAlign w:val="top"/>
          </w:tcPr>
          <w:p>
            <w:r>
              <w:rPr>
                <w:sz w:val="17"/>
              </w:rPr>
            </w:r>
            <w:r>
              <w:rPr>
                <w:b w:val="0"/>
                <w:sz w:val="17"/>
              </w:rPr>
              <w:t>sector_code, jurisdiction_country_code, regulatory_obligations, regulatory_trigger</w:t>
            </w:r>
          </w:p>
        </w:tc>
      </w:tr>
    </w:tbl>
    <w:p/>
    <w:p>
      <w:r>
        <w:t>Architectural decision: prior L7 AI Control Plane Extensions are merged into L5 for API simplicity. TCR-STD-003 SHALL follow this 7-layer architecture. L7 SHALL NOT be treated as a separate conformance layer in UAIF v1.0.</w:t>
      </w:r>
    </w:p>
    <w:p>
      <w:pPr>
        <w:pStyle w:val="Heading1"/>
      </w:pPr>
      <w:r>
        <w:t>3. Adoption Profiles and Conformance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top"/>
            <w:shd w:fill="1F4E79"/>
          </w:tcPr>
          <w:p>
            <w:r>
              <w:rPr>
                <w:sz w:val="17"/>
              </w:rPr>
            </w:r>
            <w:r>
              <w:rPr>
                <w:b/>
                <w:color w:val="FFFFFF"/>
                <w:sz w:val="17"/>
              </w:rPr>
              <w:t>Profile</w:t>
            </w:r>
          </w:p>
        </w:tc>
        <w:tc>
          <w:tcPr>
            <w:tcW w:type="dxa" w:w="2556"/>
            <w:vAlign w:val="top"/>
            <w:shd w:fill="1F4E79"/>
          </w:tcPr>
          <w:p>
            <w:r>
              <w:rPr>
                <w:sz w:val="17"/>
              </w:rPr>
            </w:r>
            <w:r>
              <w:rPr>
                <w:b/>
                <w:color w:val="FFFFFF"/>
                <w:sz w:val="17"/>
              </w:rPr>
              <w:t>Included Layers</w:t>
            </w:r>
          </w:p>
        </w:tc>
        <w:tc>
          <w:tcPr>
            <w:tcW w:type="dxa" w:w="2556"/>
            <w:vAlign w:val="top"/>
            <w:shd w:fill="1F4E79"/>
          </w:tcPr>
          <w:p>
            <w:r>
              <w:rPr>
                <w:sz w:val="17"/>
              </w:rPr>
            </w:r>
            <w:r>
              <w:rPr>
                <w:b/>
                <w:color w:val="FFFFFF"/>
                <w:sz w:val="17"/>
              </w:rPr>
              <w:t>Mandatory Fields</w:t>
            </w:r>
          </w:p>
        </w:tc>
        <w:tc>
          <w:tcPr>
            <w:tcW w:type="dxa" w:w="2556"/>
            <w:vAlign w:val="top"/>
            <w:shd w:fill="1F4E79"/>
          </w:tcPr>
          <w:p>
            <w:r>
              <w:rPr>
                <w:sz w:val="17"/>
              </w:rPr>
            </w:r>
            <w:r>
              <w:rPr>
                <w:b/>
                <w:color w:val="FFFFFF"/>
                <w:sz w:val="17"/>
              </w:rPr>
              <w:t>Prohibited Fields</w:t>
            </w:r>
          </w:p>
        </w:tc>
      </w:tr>
      <w:tr>
        <w:tc>
          <w:tcPr>
            <w:tcW w:type="dxa" w:w="2556"/>
            <w:vAlign w:val="top"/>
          </w:tcPr>
          <w:p>
            <w:r>
              <w:rPr>
                <w:sz w:val="17"/>
              </w:rPr>
            </w:r>
            <w:r>
              <w:rPr>
                <w:b w:val="0"/>
                <w:sz w:val="17"/>
              </w:rPr>
              <w:t>Core</w:t>
            </w:r>
          </w:p>
        </w:tc>
        <w:tc>
          <w:tcPr>
            <w:tcW w:type="dxa" w:w="2556"/>
            <w:vAlign w:val="top"/>
          </w:tcPr>
          <w:p>
            <w:r>
              <w:rPr>
                <w:sz w:val="17"/>
              </w:rPr>
            </w:r>
            <w:r>
              <w:rPr>
                <w:b w:val="0"/>
                <w:sz w:val="17"/>
              </w:rPr>
              <w:t>L0, L1, L2, L6</w:t>
            </w:r>
          </w:p>
        </w:tc>
        <w:tc>
          <w:tcPr>
            <w:tcW w:type="dxa" w:w="2556"/>
            <w:vAlign w:val="top"/>
          </w:tcPr>
          <w:p>
            <w:r>
              <w:rPr>
                <w:sz w:val="17"/>
              </w:rPr>
            </w:r>
            <w:r>
              <w:rPr>
                <w:b w:val="0"/>
                <w:sz w:val="17"/>
              </w:rPr>
              <w:t>11 baseline fields plus conditional Incident severity fields</w:t>
            </w:r>
          </w:p>
        </w:tc>
        <w:tc>
          <w:tcPr>
            <w:tcW w:type="dxa" w:w="2556"/>
            <w:vAlign w:val="top"/>
          </w:tcPr>
          <w:p>
            <w:r>
              <w:rPr>
                <w:sz w:val="17"/>
              </w:rPr>
            </w:r>
            <w:r>
              <w:rPr>
                <w:b w:val="0"/>
                <w:sz w:val="17"/>
              </w:rPr>
              <w:t>L3, L4, L5 fields in primary payload</w:t>
            </w:r>
          </w:p>
        </w:tc>
      </w:tr>
      <w:tr>
        <w:tc>
          <w:tcPr>
            <w:tcW w:type="dxa" w:w="2556"/>
            <w:vAlign w:val="top"/>
          </w:tcPr>
          <w:p>
            <w:r>
              <w:rPr>
                <w:sz w:val="17"/>
              </w:rPr>
            </w:r>
            <w:r>
              <w:rPr>
                <w:b w:val="0"/>
                <w:sz w:val="17"/>
              </w:rPr>
              <w:t>Enterprise</w:t>
            </w:r>
          </w:p>
        </w:tc>
        <w:tc>
          <w:tcPr>
            <w:tcW w:type="dxa" w:w="2556"/>
            <w:vAlign w:val="top"/>
          </w:tcPr>
          <w:p>
            <w:r>
              <w:rPr>
                <w:sz w:val="17"/>
              </w:rPr>
            </w:r>
            <w:r>
              <w:rPr>
                <w:b w:val="0"/>
                <w:sz w:val="17"/>
              </w:rPr>
              <w:t>Core + L3, L4</w:t>
            </w:r>
          </w:p>
        </w:tc>
        <w:tc>
          <w:tcPr>
            <w:tcW w:type="dxa" w:w="2556"/>
            <w:vAlign w:val="top"/>
          </w:tcPr>
          <w:p>
            <w:r>
              <w:rPr>
                <w:sz w:val="17"/>
              </w:rPr>
            </w:r>
            <w:r>
              <w:rPr>
                <w:b w:val="0"/>
                <w:sz w:val="17"/>
              </w:rPr>
              <w:t>18 baseline and harm/exposure fields</w:t>
            </w:r>
          </w:p>
        </w:tc>
        <w:tc>
          <w:tcPr>
            <w:tcW w:type="dxa" w:w="2556"/>
            <w:vAlign w:val="top"/>
          </w:tcPr>
          <w:p>
            <w:r>
              <w:rPr>
                <w:sz w:val="17"/>
              </w:rPr>
            </w:r>
            <w:r>
              <w:rPr>
                <w:b w:val="0"/>
                <w:sz w:val="17"/>
              </w:rPr>
              <w:t>L5 fields</w:t>
            </w:r>
          </w:p>
        </w:tc>
      </w:tr>
      <w:tr>
        <w:tc>
          <w:tcPr>
            <w:tcW w:type="dxa" w:w="2556"/>
            <w:vAlign w:val="top"/>
          </w:tcPr>
          <w:p>
            <w:r>
              <w:rPr>
                <w:sz w:val="17"/>
              </w:rPr>
            </w:r>
            <w:r>
              <w:rPr>
                <w:b w:val="0"/>
                <w:sz w:val="17"/>
              </w:rPr>
              <w:t>Regulatory</w:t>
            </w:r>
          </w:p>
        </w:tc>
        <w:tc>
          <w:tcPr>
            <w:tcW w:type="dxa" w:w="2556"/>
            <w:vAlign w:val="top"/>
          </w:tcPr>
          <w:p>
            <w:r>
              <w:rPr>
                <w:sz w:val="17"/>
              </w:rPr>
            </w:r>
            <w:r>
              <w:rPr>
                <w:b w:val="0"/>
                <w:sz w:val="17"/>
              </w:rPr>
              <w:t>Enterprise + L6 extended</w:t>
            </w:r>
          </w:p>
        </w:tc>
        <w:tc>
          <w:tcPr>
            <w:tcW w:type="dxa" w:w="2556"/>
            <w:vAlign w:val="top"/>
          </w:tcPr>
          <w:p>
            <w:r>
              <w:rPr>
                <w:sz w:val="17"/>
              </w:rPr>
            </w:r>
            <w:r>
              <w:rPr>
                <w:b w:val="0"/>
                <w:sz w:val="17"/>
              </w:rPr>
              <w:t>22 baseline, severity, harm, jurisdiction, trigger fields</w:t>
            </w:r>
          </w:p>
        </w:tc>
        <w:tc>
          <w:tcPr>
            <w:tcW w:type="dxa" w:w="2556"/>
            <w:vAlign w:val="top"/>
          </w:tcPr>
          <w:p>
            <w:r>
              <w:rPr>
                <w:sz w:val="17"/>
              </w:rPr>
            </w:r>
            <w:r>
              <w:rPr>
                <w:b w:val="0"/>
                <w:sz w:val="17"/>
              </w:rPr>
              <w:t>None</w:t>
            </w:r>
          </w:p>
        </w:tc>
      </w:tr>
      <w:tr>
        <w:tc>
          <w:tcPr>
            <w:tcW w:type="dxa" w:w="2556"/>
            <w:vAlign w:val="top"/>
          </w:tcPr>
          <w:p>
            <w:r>
              <w:rPr>
                <w:sz w:val="17"/>
              </w:rPr>
            </w:r>
            <w:r>
              <w:rPr>
                <w:b w:val="0"/>
                <w:sz w:val="17"/>
              </w:rPr>
              <w:t>SOC/SIEM</w:t>
            </w:r>
          </w:p>
        </w:tc>
        <w:tc>
          <w:tcPr>
            <w:tcW w:type="dxa" w:w="2556"/>
            <w:vAlign w:val="top"/>
          </w:tcPr>
          <w:p>
            <w:r>
              <w:rPr>
                <w:sz w:val="17"/>
              </w:rPr>
            </w:r>
            <w:r>
              <w:rPr>
                <w:b w:val="0"/>
                <w:sz w:val="17"/>
              </w:rPr>
              <w:t>Core + STIX/ATLAS mapping</w:t>
            </w:r>
          </w:p>
        </w:tc>
        <w:tc>
          <w:tcPr>
            <w:tcW w:type="dxa" w:w="2556"/>
            <w:vAlign w:val="top"/>
          </w:tcPr>
          <w:p>
            <w:r>
              <w:rPr>
                <w:sz w:val="17"/>
              </w:rPr>
            </w:r>
            <w:r>
              <w:rPr>
                <w:b w:val="0"/>
                <w:sz w:val="17"/>
              </w:rPr>
              <w:t>Core plus atlas_technique_id where applicable</w:t>
            </w:r>
          </w:p>
        </w:tc>
        <w:tc>
          <w:tcPr>
            <w:tcW w:type="dxa" w:w="2556"/>
            <w:vAlign w:val="top"/>
          </w:tcPr>
          <w:p>
            <w:r>
              <w:rPr>
                <w:sz w:val="17"/>
              </w:rPr>
            </w:r>
            <w:r>
              <w:rPr>
                <w:b w:val="0"/>
                <w:sz w:val="17"/>
              </w:rPr>
              <w:t>L3 and L5 unless using extension namespace</w:t>
            </w:r>
          </w:p>
        </w:tc>
      </w:tr>
      <w:tr>
        <w:tc>
          <w:tcPr>
            <w:tcW w:type="dxa" w:w="2556"/>
            <w:vAlign w:val="top"/>
          </w:tcPr>
          <w:p>
            <w:r>
              <w:rPr>
                <w:sz w:val="17"/>
              </w:rPr>
            </w:r>
            <w:r>
              <w:rPr>
                <w:b w:val="0"/>
                <w:sz w:val="17"/>
              </w:rPr>
              <w:t>AI Security Extension</w:t>
            </w:r>
          </w:p>
        </w:tc>
        <w:tc>
          <w:tcPr>
            <w:tcW w:type="dxa" w:w="2556"/>
            <w:vAlign w:val="top"/>
          </w:tcPr>
          <w:p>
            <w:r>
              <w:rPr>
                <w:sz w:val="17"/>
              </w:rPr>
            </w:r>
            <w:r>
              <w:rPr>
                <w:b w:val="0"/>
                <w:sz w:val="17"/>
              </w:rPr>
              <w:t>Core + L5 security subset</w:t>
            </w:r>
          </w:p>
        </w:tc>
        <w:tc>
          <w:tcPr>
            <w:tcW w:type="dxa" w:w="2556"/>
            <w:vAlign w:val="top"/>
          </w:tcPr>
          <w:p>
            <w:r>
              <w:rPr>
                <w:sz w:val="17"/>
              </w:rPr>
            </w:r>
            <w:r>
              <w:rPr>
                <w:b w:val="0"/>
                <w:sz w:val="17"/>
              </w:rPr>
              <w:t>Core plus attack vector and control-plane fields</w:t>
            </w:r>
          </w:p>
        </w:tc>
        <w:tc>
          <w:tcPr>
            <w:tcW w:type="dxa" w:w="2556"/>
            <w:vAlign w:val="top"/>
          </w:tcPr>
          <w:p>
            <w:r>
              <w:rPr>
                <w:sz w:val="17"/>
              </w:rPr>
            </w:r>
            <w:r>
              <w:rPr>
                <w:b w:val="0"/>
                <w:sz w:val="17"/>
              </w:rPr>
              <w:t>L3 and L4 unless enterprise enabled</w:t>
            </w:r>
          </w:p>
        </w:tc>
      </w:tr>
    </w:tbl>
    <w:p/>
    <w:p>
      <w:r>
        <w:t>Core Profile implementations SHALL NOT include prohibited fields in the primary payload. Extended data MAY be stored under x_extensions but SHALL NOT affect Core Profile validation. Custom vocabulary values SHALL use the x_ prefix only where the controlled vocabulary explicitly allows it.</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shd w:fill="1F4E79"/>
          </w:tcPr>
          <w:p>
            <w:r>
              <w:rPr>
                <w:sz w:val="17"/>
              </w:rPr>
            </w:r>
            <w:r>
              <w:rPr>
                <w:b/>
                <w:color w:val="FFFFFF"/>
                <w:sz w:val="17"/>
              </w:rPr>
              <w:t>#</w:t>
            </w:r>
          </w:p>
        </w:tc>
        <w:tc>
          <w:tcPr>
            <w:tcW w:type="dxa" w:w="3408"/>
            <w:vAlign w:val="top"/>
            <w:shd w:fill="1F4E79"/>
          </w:tcPr>
          <w:p>
            <w:r>
              <w:rPr>
                <w:sz w:val="17"/>
              </w:rPr>
            </w:r>
            <w:r>
              <w:rPr>
                <w:b/>
                <w:color w:val="FFFFFF"/>
                <w:sz w:val="17"/>
              </w:rPr>
              <w:t>Conformance Requirement</w:t>
            </w:r>
          </w:p>
        </w:tc>
        <w:tc>
          <w:tcPr>
            <w:tcW w:type="dxa" w:w="3408"/>
            <w:vAlign w:val="top"/>
            <w:shd w:fill="1F4E79"/>
          </w:tcPr>
          <w:p>
            <w:r>
              <w:rPr>
                <w:sz w:val="17"/>
              </w:rPr>
            </w:r>
            <w:r>
              <w:rPr>
                <w:b/>
                <w:color w:val="FFFFFF"/>
                <w:sz w:val="17"/>
              </w:rPr>
              <w:t>Validation Method</w:t>
            </w:r>
          </w:p>
        </w:tc>
      </w:tr>
      <w:tr>
        <w:tc>
          <w:tcPr>
            <w:tcW w:type="dxa" w:w="3408"/>
            <w:vAlign w:val="top"/>
          </w:tcPr>
          <w:p>
            <w:r>
              <w:rPr>
                <w:sz w:val="17"/>
              </w:rPr>
            </w:r>
            <w:r>
              <w:rPr>
                <w:b w:val="0"/>
                <w:sz w:val="17"/>
              </w:rPr>
              <w:t>1</w:t>
            </w:r>
          </w:p>
        </w:tc>
        <w:tc>
          <w:tcPr>
            <w:tcW w:type="dxa" w:w="3408"/>
            <w:vAlign w:val="top"/>
          </w:tcPr>
          <w:p>
            <w:r>
              <w:rPr>
                <w:sz w:val="17"/>
              </w:rPr>
            </w:r>
            <w:r>
              <w:rPr>
                <w:b w:val="0"/>
                <w:sz w:val="17"/>
              </w:rPr>
              <w:t>Mandatory fields for selected profile are present</w:t>
            </w:r>
          </w:p>
        </w:tc>
        <w:tc>
          <w:tcPr>
            <w:tcW w:type="dxa" w:w="3408"/>
            <w:vAlign w:val="top"/>
          </w:tcPr>
          <w:p>
            <w:r>
              <w:rPr>
                <w:sz w:val="17"/>
              </w:rPr>
            </w:r>
            <w:r>
              <w:rPr>
                <w:b w:val="0"/>
                <w:sz w:val="17"/>
              </w:rPr>
              <w:t>Schema validation</w:t>
            </w:r>
          </w:p>
        </w:tc>
      </w:tr>
      <w:tr>
        <w:tc>
          <w:tcPr>
            <w:tcW w:type="dxa" w:w="3408"/>
            <w:vAlign w:val="top"/>
          </w:tcPr>
          <w:p>
            <w:r>
              <w:rPr>
                <w:sz w:val="17"/>
              </w:rPr>
            </w:r>
            <w:r>
              <w:rPr>
                <w:b w:val="0"/>
                <w:sz w:val="17"/>
              </w:rPr>
              <w:t>2</w:t>
            </w:r>
          </w:p>
        </w:tc>
        <w:tc>
          <w:tcPr>
            <w:tcW w:type="dxa" w:w="3408"/>
            <w:vAlign w:val="top"/>
          </w:tcPr>
          <w:p>
            <w:r>
              <w:rPr>
                <w:sz w:val="17"/>
              </w:rPr>
            </w:r>
            <w:r>
              <w:rPr>
                <w:b w:val="0"/>
                <w:sz w:val="17"/>
              </w:rPr>
              <w:t>Mandatory fields contain valid type, format, enum, and precision values</w:t>
            </w:r>
          </w:p>
        </w:tc>
        <w:tc>
          <w:tcPr>
            <w:tcW w:type="dxa" w:w="3408"/>
            <w:vAlign w:val="top"/>
          </w:tcPr>
          <w:p>
            <w:r>
              <w:rPr>
                <w:sz w:val="17"/>
              </w:rPr>
            </w:r>
            <w:r>
              <w:rPr>
                <w:b w:val="0"/>
                <w:sz w:val="17"/>
              </w:rPr>
              <w:t>Type/format validation</w:t>
            </w:r>
          </w:p>
        </w:tc>
      </w:tr>
      <w:tr>
        <w:tc>
          <w:tcPr>
            <w:tcW w:type="dxa" w:w="3408"/>
            <w:vAlign w:val="top"/>
          </w:tcPr>
          <w:p>
            <w:r>
              <w:rPr>
                <w:sz w:val="17"/>
              </w:rPr>
            </w:r>
            <w:r>
              <w:rPr>
                <w:b w:val="0"/>
                <w:sz w:val="17"/>
              </w:rPr>
              <w:t>3</w:t>
            </w:r>
          </w:p>
        </w:tc>
        <w:tc>
          <w:tcPr>
            <w:tcW w:type="dxa" w:w="3408"/>
            <w:vAlign w:val="top"/>
          </w:tcPr>
          <w:p>
            <w:r>
              <w:rPr>
                <w:sz w:val="17"/>
              </w:rPr>
            </w:r>
            <w:r>
              <w:rPr>
                <w:b w:val="0"/>
                <w:sz w:val="17"/>
              </w:rPr>
              <w:t>Prohibited fields are absent from the selected profile primary payload</w:t>
            </w:r>
          </w:p>
        </w:tc>
        <w:tc>
          <w:tcPr>
            <w:tcW w:type="dxa" w:w="3408"/>
            <w:vAlign w:val="top"/>
          </w:tcPr>
          <w:p>
            <w:r>
              <w:rPr>
                <w:sz w:val="17"/>
              </w:rPr>
            </w:r>
            <w:r>
              <w:rPr>
                <w:b w:val="0"/>
                <w:sz w:val="17"/>
              </w:rPr>
              <w:t>Field presence check</w:t>
            </w:r>
          </w:p>
        </w:tc>
      </w:tr>
      <w:tr>
        <w:tc>
          <w:tcPr>
            <w:tcW w:type="dxa" w:w="3408"/>
            <w:vAlign w:val="top"/>
          </w:tcPr>
          <w:p>
            <w:r>
              <w:rPr>
                <w:sz w:val="17"/>
              </w:rPr>
            </w:r>
            <w:r>
              <w:rPr>
                <w:b w:val="0"/>
                <w:sz w:val="17"/>
              </w:rPr>
              <w:t>4</w:t>
            </w:r>
          </w:p>
        </w:tc>
        <w:tc>
          <w:tcPr>
            <w:tcW w:type="dxa" w:w="3408"/>
            <w:vAlign w:val="top"/>
          </w:tcPr>
          <w:p>
            <w:r>
              <w:rPr>
                <w:sz w:val="17"/>
              </w:rPr>
            </w:r>
            <w:r>
              <w:rPr>
                <w:b w:val="0"/>
                <w:sz w:val="17"/>
              </w:rPr>
              <w:t>Severity calculations match the normative reference implementation</w:t>
            </w:r>
          </w:p>
        </w:tc>
        <w:tc>
          <w:tcPr>
            <w:tcW w:type="dxa" w:w="3408"/>
            <w:vAlign w:val="top"/>
          </w:tcPr>
          <w:p>
            <w:r>
              <w:rPr>
                <w:sz w:val="17"/>
              </w:rPr>
            </w:r>
            <w:r>
              <w:rPr>
                <w:b w:val="0"/>
                <w:sz w:val="17"/>
              </w:rPr>
              <w:t>Deterministic output comparison</w:t>
            </w:r>
          </w:p>
        </w:tc>
      </w:tr>
      <w:tr>
        <w:tc>
          <w:tcPr>
            <w:tcW w:type="dxa" w:w="3408"/>
            <w:vAlign w:val="top"/>
          </w:tcPr>
          <w:p>
            <w:r>
              <w:rPr>
                <w:sz w:val="17"/>
              </w:rPr>
            </w:r>
            <w:r>
              <w:rPr>
                <w:b w:val="0"/>
                <w:sz w:val="17"/>
              </w:rPr>
              <w:t>5</w:t>
            </w:r>
          </w:p>
        </w:tc>
        <w:tc>
          <w:tcPr>
            <w:tcW w:type="dxa" w:w="3408"/>
            <w:vAlign w:val="top"/>
          </w:tcPr>
          <w:p>
            <w:r>
              <w:rPr>
                <w:sz w:val="17"/>
              </w:rPr>
            </w:r>
            <w:r>
              <w:rPr>
                <w:b w:val="0"/>
                <w:sz w:val="17"/>
              </w:rPr>
              <w:t>Conditional validation rules are enforced</w:t>
            </w:r>
          </w:p>
        </w:tc>
        <w:tc>
          <w:tcPr>
            <w:tcW w:type="dxa" w:w="3408"/>
            <w:vAlign w:val="top"/>
          </w:tcPr>
          <w:p>
            <w:r>
              <w:rPr>
                <w:sz w:val="17"/>
              </w:rPr>
            </w:r>
            <w:r>
              <w:rPr>
                <w:b w:val="0"/>
                <w:sz w:val="17"/>
              </w:rPr>
              <w:t>Rule-based validation</w:t>
            </w:r>
          </w:p>
        </w:tc>
      </w:tr>
      <w:tr>
        <w:tc>
          <w:tcPr>
            <w:tcW w:type="dxa" w:w="3408"/>
            <w:vAlign w:val="top"/>
          </w:tcPr>
          <w:p>
            <w:r>
              <w:rPr>
                <w:sz w:val="17"/>
              </w:rPr>
            </w:r>
            <w:r>
              <w:rPr>
                <w:b w:val="0"/>
                <w:sz w:val="17"/>
              </w:rPr>
              <w:t>6</w:t>
            </w:r>
          </w:p>
        </w:tc>
        <w:tc>
          <w:tcPr>
            <w:tcW w:type="dxa" w:w="3408"/>
            <w:vAlign w:val="top"/>
          </w:tcPr>
          <w:p>
            <w:r>
              <w:rPr>
                <w:sz w:val="17"/>
              </w:rPr>
            </w:r>
            <w:r>
              <w:rPr>
                <w:b w:val="0"/>
                <w:sz w:val="17"/>
              </w:rPr>
              <w:t>severity_rationale includes calibration_status and required provisional notices</w:t>
            </w:r>
          </w:p>
        </w:tc>
        <w:tc>
          <w:tcPr>
            <w:tcW w:type="dxa" w:w="3408"/>
            <w:vAlign w:val="top"/>
          </w:tcPr>
          <w:p>
            <w:r>
              <w:rPr>
                <w:sz w:val="17"/>
              </w:rPr>
            </w:r>
            <w:r>
              <w:rPr>
                <w:b w:val="0"/>
                <w:sz w:val="17"/>
              </w:rPr>
              <w:t>Semantic check</w:t>
            </w:r>
          </w:p>
        </w:tc>
      </w:tr>
      <w:tr>
        <w:tc>
          <w:tcPr>
            <w:tcW w:type="dxa" w:w="3408"/>
            <w:vAlign w:val="top"/>
          </w:tcPr>
          <w:p>
            <w:r>
              <w:rPr>
                <w:sz w:val="17"/>
              </w:rPr>
            </w:r>
            <w:r>
              <w:rPr>
                <w:b w:val="0"/>
                <w:sz w:val="17"/>
              </w:rPr>
              <w:t>7</w:t>
            </w:r>
          </w:p>
        </w:tc>
        <w:tc>
          <w:tcPr>
            <w:tcW w:type="dxa" w:w="3408"/>
            <w:vAlign w:val="top"/>
          </w:tcPr>
          <w:p>
            <w:r>
              <w:rPr>
                <w:sz w:val="17"/>
              </w:rPr>
            </w:r>
            <w:r>
              <w:rPr>
                <w:b w:val="0"/>
                <w:sz w:val="17"/>
              </w:rPr>
              <w:t>regulatory_trigger presence requires trigger_confidence and human_review_recommended</w:t>
            </w:r>
          </w:p>
        </w:tc>
        <w:tc>
          <w:tcPr>
            <w:tcW w:type="dxa" w:w="3408"/>
            <w:vAlign w:val="top"/>
          </w:tcPr>
          <w:p>
            <w:r>
              <w:rPr>
                <w:sz w:val="17"/>
              </w:rPr>
            </w:r>
            <w:r>
              <w:rPr>
                <w:b w:val="0"/>
                <w:sz w:val="17"/>
              </w:rPr>
              <w:t>Schema allOf validation</w:t>
            </w:r>
          </w:p>
        </w:tc>
      </w:tr>
      <w:tr>
        <w:tc>
          <w:tcPr>
            <w:tcW w:type="dxa" w:w="3408"/>
            <w:vAlign w:val="top"/>
          </w:tcPr>
          <w:p>
            <w:r>
              <w:rPr>
                <w:sz w:val="17"/>
              </w:rPr>
            </w:r>
            <w:r>
              <w:rPr>
                <w:b w:val="0"/>
                <w:sz w:val="17"/>
              </w:rPr>
              <w:t>8</w:t>
            </w:r>
          </w:p>
        </w:tc>
        <w:tc>
          <w:tcPr>
            <w:tcW w:type="dxa" w:w="3408"/>
            <w:vAlign w:val="top"/>
          </w:tcPr>
          <w:p>
            <w:r>
              <w:rPr>
                <w:sz w:val="17"/>
              </w:rPr>
            </w:r>
            <w:r>
              <w:rPr>
                <w:b w:val="0"/>
                <w:sz w:val="17"/>
              </w:rPr>
              <w:t>root_cause_specific_type uses controlled vocabulary or x_ extension value</w:t>
            </w:r>
          </w:p>
        </w:tc>
        <w:tc>
          <w:tcPr>
            <w:tcW w:type="dxa" w:w="3408"/>
            <w:vAlign w:val="top"/>
          </w:tcPr>
          <w:p>
            <w:r>
              <w:rPr>
                <w:sz w:val="17"/>
              </w:rPr>
            </w:r>
            <w:r>
              <w:rPr>
                <w:b w:val="0"/>
                <w:sz w:val="17"/>
              </w:rPr>
              <w:t>Vocabulary check</w:t>
            </w:r>
          </w:p>
        </w:tc>
      </w:tr>
    </w:tbl>
    <w:p/>
    <w:p>
      <w:pPr>
        <w:pStyle w:val="Heading1"/>
      </w:pPr>
      <w:r>
        <w:t>4. Severity Scoring Engine v1.0</w:t>
      </w:r>
    </w:p>
    <w:p>
      <w:r>
        <w:t>UAIF severity scoring draws structural inspiration from CVSS v3.1/v4.0 but is a post-incident classification and routing model. It is not a replacement for vulnerability scoring.</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shd w:fill="1F4E79"/>
          </w:tcPr>
          <w:p>
            <w:r>
              <w:rPr>
                <w:sz w:val="17"/>
              </w:rPr>
            </w:r>
            <w:r>
              <w:rPr>
                <w:b/>
                <w:color w:val="FFFFFF"/>
                <w:sz w:val="17"/>
              </w:rPr>
              <w:t>Harm Type</w:t>
            </w:r>
          </w:p>
        </w:tc>
        <w:tc>
          <w:tcPr>
            <w:tcW w:type="dxa" w:w="3408"/>
            <w:vAlign w:val="top"/>
            <w:shd w:fill="1F4E79"/>
          </w:tcPr>
          <w:p>
            <w:r>
              <w:rPr>
                <w:sz w:val="17"/>
              </w:rPr>
            </w:r>
            <w:r>
              <w:rPr>
                <w:b/>
                <w:color w:val="FFFFFF"/>
                <w:sz w:val="17"/>
              </w:rPr>
              <w:t>Default Weight</w:t>
            </w:r>
          </w:p>
        </w:tc>
        <w:tc>
          <w:tcPr>
            <w:tcW w:type="dxa" w:w="3408"/>
            <w:vAlign w:val="top"/>
            <w:shd w:fill="1F4E79"/>
          </w:tcPr>
          <w:p>
            <w:r>
              <w:rPr>
                <w:sz w:val="17"/>
              </w:rPr>
            </w:r>
            <w:r>
              <w:rPr>
                <w:b/>
                <w:color w:val="FFFFFF"/>
                <w:sz w:val="17"/>
              </w:rPr>
              <w:t>Status</w:t>
            </w:r>
          </w:p>
        </w:tc>
      </w:tr>
      <w:tr>
        <w:tc>
          <w:tcPr>
            <w:tcW w:type="dxa" w:w="3408"/>
            <w:vAlign w:val="top"/>
          </w:tcPr>
          <w:p>
            <w:r>
              <w:rPr>
                <w:sz w:val="17"/>
              </w:rPr>
            </w:r>
            <w:r>
              <w:rPr>
                <w:b w:val="0"/>
                <w:sz w:val="17"/>
              </w:rPr>
              <w:t>Physical_Harm</w:t>
            </w:r>
          </w:p>
        </w:tc>
        <w:tc>
          <w:tcPr>
            <w:tcW w:type="dxa" w:w="3408"/>
            <w:vAlign w:val="top"/>
          </w:tcPr>
          <w:p>
            <w:r>
              <w:rPr>
                <w:sz w:val="17"/>
              </w:rPr>
            </w:r>
            <w:r>
              <w:rPr>
                <w:b w:val="0"/>
                <w:sz w:val="17"/>
              </w:rPr>
              <w:t>4.0</w:t>
            </w:r>
          </w:p>
        </w:tc>
        <w:tc>
          <w:tcPr>
            <w:tcW w:type="dxa" w:w="3408"/>
            <w:vAlign w:val="top"/>
          </w:tcPr>
          <w:p>
            <w:r>
              <w:rPr>
                <w:sz w:val="17"/>
              </w:rPr>
            </w:r>
            <w:r>
              <w:rPr>
                <w:b w:val="0"/>
                <w:sz w:val="17"/>
              </w:rPr>
              <w:t>Provisional pending sector validation</w:t>
            </w:r>
          </w:p>
        </w:tc>
      </w:tr>
      <w:tr>
        <w:tc>
          <w:tcPr>
            <w:tcW w:type="dxa" w:w="3408"/>
            <w:vAlign w:val="top"/>
          </w:tcPr>
          <w:p>
            <w:r>
              <w:rPr>
                <w:sz w:val="17"/>
              </w:rPr>
            </w:r>
            <w:r>
              <w:rPr>
                <w:b w:val="0"/>
                <w:sz w:val="17"/>
              </w:rPr>
              <w:t>Environmental_Harm</w:t>
            </w:r>
          </w:p>
        </w:tc>
        <w:tc>
          <w:tcPr>
            <w:tcW w:type="dxa" w:w="3408"/>
            <w:vAlign w:val="top"/>
          </w:tcPr>
          <w:p>
            <w:r>
              <w:rPr>
                <w:sz w:val="17"/>
              </w:rPr>
            </w:r>
            <w:r>
              <w:rPr>
                <w:b w:val="0"/>
                <w:sz w:val="17"/>
              </w:rPr>
              <w:t>3.5</w:t>
            </w:r>
          </w:p>
        </w:tc>
        <w:tc>
          <w:tcPr>
            <w:tcW w:type="dxa" w:w="3408"/>
            <w:vAlign w:val="top"/>
          </w:tcPr>
          <w:p>
            <w:r>
              <w:rPr>
                <w:sz w:val="17"/>
              </w:rPr>
            </w:r>
            <w:r>
              <w:rPr>
                <w:b w:val="0"/>
                <w:sz w:val="17"/>
              </w:rPr>
              <w:t>Provisional pending sector validation</w:t>
            </w:r>
          </w:p>
        </w:tc>
      </w:tr>
      <w:tr>
        <w:tc>
          <w:tcPr>
            <w:tcW w:type="dxa" w:w="3408"/>
            <w:vAlign w:val="top"/>
          </w:tcPr>
          <w:p>
            <w:r>
              <w:rPr>
                <w:sz w:val="17"/>
              </w:rPr>
            </w:r>
            <w:r>
              <w:rPr>
                <w:b w:val="0"/>
                <w:sz w:val="17"/>
              </w:rPr>
              <w:t>Security_Integrity</w:t>
            </w:r>
          </w:p>
        </w:tc>
        <w:tc>
          <w:tcPr>
            <w:tcW w:type="dxa" w:w="3408"/>
            <w:vAlign w:val="top"/>
          </w:tcPr>
          <w:p>
            <w:r>
              <w:rPr>
                <w:sz w:val="17"/>
              </w:rPr>
            </w:r>
            <w:r>
              <w:rPr>
                <w:b w:val="0"/>
                <w:sz w:val="17"/>
              </w:rPr>
              <w:t>3.5</w:t>
            </w:r>
          </w:p>
        </w:tc>
        <w:tc>
          <w:tcPr>
            <w:tcW w:type="dxa" w:w="3408"/>
            <w:vAlign w:val="top"/>
          </w:tcPr>
          <w:p>
            <w:r>
              <w:rPr>
                <w:sz w:val="17"/>
              </w:rPr>
            </w:r>
            <w:r>
              <w:rPr>
                <w:b w:val="0"/>
                <w:sz w:val="17"/>
              </w:rPr>
              <w:t>Provisional pending sector validation</w:t>
            </w:r>
          </w:p>
        </w:tc>
      </w:tr>
      <w:tr>
        <w:tc>
          <w:tcPr>
            <w:tcW w:type="dxa" w:w="3408"/>
            <w:vAlign w:val="top"/>
          </w:tcPr>
          <w:p>
            <w:r>
              <w:rPr>
                <w:sz w:val="17"/>
              </w:rPr>
            </w:r>
            <w:r>
              <w:rPr>
                <w:b w:val="0"/>
                <w:sz w:val="17"/>
              </w:rPr>
              <w:t>Privacy_Violation</w:t>
            </w:r>
          </w:p>
        </w:tc>
        <w:tc>
          <w:tcPr>
            <w:tcW w:type="dxa" w:w="3408"/>
            <w:vAlign w:val="top"/>
          </w:tcPr>
          <w:p>
            <w:r>
              <w:rPr>
                <w:sz w:val="17"/>
              </w:rPr>
            </w:r>
            <w:r>
              <w:rPr>
                <w:b w:val="0"/>
                <w:sz w:val="17"/>
              </w:rPr>
              <w:t>3.0</w:t>
            </w:r>
          </w:p>
        </w:tc>
        <w:tc>
          <w:tcPr>
            <w:tcW w:type="dxa" w:w="3408"/>
            <w:vAlign w:val="top"/>
          </w:tcPr>
          <w:p>
            <w:r>
              <w:rPr>
                <w:sz w:val="17"/>
              </w:rPr>
            </w:r>
            <w:r>
              <w:rPr>
                <w:b w:val="0"/>
                <w:sz w:val="17"/>
              </w:rPr>
              <w:t>Provisional pending sector validation</w:t>
            </w:r>
          </w:p>
        </w:tc>
      </w:tr>
      <w:tr>
        <w:tc>
          <w:tcPr>
            <w:tcW w:type="dxa" w:w="3408"/>
            <w:vAlign w:val="top"/>
          </w:tcPr>
          <w:p>
            <w:r>
              <w:rPr>
                <w:sz w:val="17"/>
              </w:rPr>
            </w:r>
            <w:r>
              <w:rPr>
                <w:b w:val="0"/>
                <w:sz w:val="17"/>
              </w:rPr>
              <w:t>Financial_Loss</w:t>
            </w:r>
          </w:p>
        </w:tc>
        <w:tc>
          <w:tcPr>
            <w:tcW w:type="dxa" w:w="3408"/>
            <w:vAlign w:val="top"/>
          </w:tcPr>
          <w:p>
            <w:r>
              <w:rPr>
                <w:sz w:val="17"/>
              </w:rPr>
            </w:r>
            <w:r>
              <w:rPr>
                <w:b w:val="0"/>
                <w:sz w:val="17"/>
              </w:rPr>
              <w:t>2.5</w:t>
            </w:r>
          </w:p>
        </w:tc>
        <w:tc>
          <w:tcPr>
            <w:tcW w:type="dxa" w:w="3408"/>
            <w:vAlign w:val="top"/>
          </w:tcPr>
          <w:p>
            <w:r>
              <w:rPr>
                <w:sz w:val="17"/>
              </w:rPr>
            </w:r>
            <w:r>
              <w:rPr>
                <w:b w:val="0"/>
                <w:sz w:val="17"/>
              </w:rPr>
              <w:t>Provisional pending sector validation</w:t>
            </w:r>
          </w:p>
        </w:tc>
      </w:tr>
      <w:tr>
        <w:tc>
          <w:tcPr>
            <w:tcW w:type="dxa" w:w="3408"/>
            <w:vAlign w:val="top"/>
          </w:tcPr>
          <w:p>
            <w:r>
              <w:rPr>
                <w:sz w:val="17"/>
              </w:rPr>
            </w:r>
            <w:r>
              <w:rPr>
                <w:b w:val="0"/>
                <w:sz w:val="17"/>
              </w:rPr>
              <w:t>Psychological_Harm</w:t>
            </w:r>
          </w:p>
        </w:tc>
        <w:tc>
          <w:tcPr>
            <w:tcW w:type="dxa" w:w="3408"/>
            <w:vAlign w:val="top"/>
          </w:tcPr>
          <w:p>
            <w:r>
              <w:rPr>
                <w:sz w:val="17"/>
              </w:rPr>
            </w:r>
            <w:r>
              <w:rPr>
                <w:b w:val="0"/>
                <w:sz w:val="17"/>
              </w:rPr>
              <w:t>2.0</w:t>
            </w:r>
          </w:p>
        </w:tc>
        <w:tc>
          <w:tcPr>
            <w:tcW w:type="dxa" w:w="3408"/>
            <w:vAlign w:val="top"/>
          </w:tcPr>
          <w:p>
            <w:r>
              <w:rPr>
                <w:sz w:val="17"/>
              </w:rPr>
            </w:r>
            <w:r>
              <w:rPr>
                <w:b w:val="0"/>
                <w:sz w:val="17"/>
              </w:rPr>
              <w:t>Provisional pending sector validation</w:t>
            </w:r>
          </w:p>
        </w:tc>
      </w:tr>
      <w:tr>
        <w:tc>
          <w:tcPr>
            <w:tcW w:type="dxa" w:w="3408"/>
            <w:vAlign w:val="top"/>
          </w:tcPr>
          <w:p>
            <w:r>
              <w:rPr>
                <w:sz w:val="17"/>
              </w:rPr>
            </w:r>
            <w:r>
              <w:rPr>
                <w:b w:val="0"/>
                <w:sz w:val="17"/>
              </w:rPr>
              <w:t>Property_Damage</w:t>
            </w:r>
          </w:p>
        </w:tc>
        <w:tc>
          <w:tcPr>
            <w:tcW w:type="dxa" w:w="3408"/>
            <w:vAlign w:val="top"/>
          </w:tcPr>
          <w:p>
            <w:r>
              <w:rPr>
                <w:sz w:val="17"/>
              </w:rPr>
            </w:r>
            <w:r>
              <w:rPr>
                <w:b w:val="0"/>
                <w:sz w:val="17"/>
              </w:rPr>
              <w:t>2.0</w:t>
            </w:r>
          </w:p>
        </w:tc>
        <w:tc>
          <w:tcPr>
            <w:tcW w:type="dxa" w:w="3408"/>
            <w:vAlign w:val="top"/>
          </w:tcPr>
          <w:p>
            <w:r>
              <w:rPr>
                <w:sz w:val="17"/>
              </w:rPr>
            </w:r>
            <w:r>
              <w:rPr>
                <w:b w:val="0"/>
                <w:sz w:val="17"/>
              </w:rPr>
              <w:t>Provisional pending sector validation</w:t>
            </w:r>
          </w:p>
        </w:tc>
      </w:tr>
      <w:tr>
        <w:tc>
          <w:tcPr>
            <w:tcW w:type="dxa" w:w="3408"/>
            <w:vAlign w:val="top"/>
          </w:tcPr>
          <w:p>
            <w:r>
              <w:rPr>
                <w:sz w:val="17"/>
              </w:rPr>
            </w:r>
            <w:r>
              <w:rPr>
                <w:b w:val="0"/>
                <w:sz w:val="17"/>
              </w:rPr>
              <w:t>Reputational_Harm</w:t>
            </w:r>
          </w:p>
        </w:tc>
        <w:tc>
          <w:tcPr>
            <w:tcW w:type="dxa" w:w="3408"/>
            <w:vAlign w:val="top"/>
          </w:tcPr>
          <w:p>
            <w:r>
              <w:rPr>
                <w:sz w:val="17"/>
              </w:rPr>
            </w:r>
            <w:r>
              <w:rPr>
                <w:b w:val="0"/>
                <w:sz w:val="17"/>
              </w:rPr>
              <w:t>1.5</w:t>
            </w:r>
          </w:p>
        </w:tc>
        <w:tc>
          <w:tcPr>
            <w:tcW w:type="dxa" w:w="3408"/>
            <w:vAlign w:val="top"/>
          </w:tcPr>
          <w:p>
            <w:r>
              <w:rPr>
                <w:sz w:val="17"/>
              </w:rPr>
            </w:r>
            <w:r>
              <w:rPr>
                <w:b w:val="0"/>
                <w:sz w:val="17"/>
              </w:rPr>
              <w:t>Provisional pending sector validation</w:t>
            </w:r>
          </w:p>
        </w:tc>
      </w:tr>
    </w:tbl>
    <w:p/>
    <w:p>
      <w:pPr>
        <w:pStyle w:val="Heading2"/>
      </w:pPr>
      <w:r>
        <w:t>4.1 Context Modifiers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shd w:fill="1F4E79"/>
          </w:tcPr>
          <w:p>
            <w:r>
              <w:rPr>
                <w:sz w:val="17"/>
              </w:rPr>
            </w:r>
            <w:r>
              <w:rPr>
                <w:b/>
                <w:color w:val="FFFFFF"/>
                <w:sz w:val="17"/>
              </w:rPr>
              <w:t>Context</w:t>
            </w:r>
          </w:p>
        </w:tc>
        <w:tc>
          <w:tcPr>
            <w:tcW w:type="dxa" w:w="3408"/>
            <w:vAlign w:val="top"/>
            <w:shd w:fill="1F4E79"/>
          </w:tcPr>
          <w:p>
            <w:r>
              <w:rPr>
                <w:sz w:val="17"/>
              </w:rPr>
            </w:r>
            <w:r>
              <w:rPr>
                <w:b/>
                <w:color w:val="FFFFFF"/>
                <w:sz w:val="17"/>
              </w:rPr>
              <w:t>Base Value</w:t>
            </w:r>
          </w:p>
        </w:tc>
        <w:tc>
          <w:tcPr>
            <w:tcW w:type="dxa" w:w="3408"/>
            <w:vAlign w:val="top"/>
            <w:shd w:fill="1F4E79"/>
          </w:tcPr>
          <w:p>
            <w:r>
              <w:rPr>
                <w:sz w:val="17"/>
              </w:rPr>
            </w:r>
            <w:r>
              <w:rPr>
                <w:b/>
                <w:color w:val="FFFFFF"/>
                <w:sz w:val="17"/>
              </w:rPr>
              <w:t>Effective Cap</w:t>
            </w:r>
          </w:p>
        </w:tc>
      </w:tr>
      <w:tr>
        <w:tc>
          <w:tcPr>
            <w:tcW w:type="dxa" w:w="3408"/>
            <w:vAlign w:val="top"/>
          </w:tcPr>
          <w:p>
            <w:r>
              <w:rPr>
                <w:sz w:val="17"/>
              </w:rPr>
            </w:r>
            <w:r>
              <w:rPr>
                <w:b w:val="0"/>
                <w:sz w:val="17"/>
              </w:rPr>
              <w:t>Model_Poisoning</w:t>
            </w:r>
          </w:p>
        </w:tc>
        <w:tc>
          <w:tcPr>
            <w:tcW w:type="dxa" w:w="3408"/>
            <w:vAlign w:val="top"/>
          </w:tcPr>
          <w:p>
            <w:r>
              <w:rPr>
                <w:sz w:val="17"/>
              </w:rPr>
            </w:r>
            <w:r>
              <w:rPr>
                <w:b w:val="0"/>
                <w:sz w:val="17"/>
              </w:rPr>
              <w:t>2.0</w:t>
            </w:r>
          </w:p>
        </w:tc>
        <w:tc>
          <w:tcPr>
            <w:tcW w:type="dxa" w:w="3408"/>
            <w:vAlign w:val="top"/>
          </w:tcPr>
          <w:p>
            <w:r>
              <w:rPr>
                <w:sz w:val="17"/>
              </w:rPr>
            </w:r>
            <w:r>
              <w:rPr>
                <w:b w:val="0"/>
                <w:sz w:val="17"/>
              </w:rPr>
              <w:t>1.5 per factor</w:t>
            </w:r>
          </w:p>
        </w:tc>
      </w:tr>
      <w:tr>
        <w:tc>
          <w:tcPr>
            <w:tcW w:type="dxa" w:w="3408"/>
            <w:vAlign w:val="top"/>
          </w:tcPr>
          <w:p>
            <w:r>
              <w:rPr>
                <w:sz w:val="17"/>
              </w:rPr>
            </w:r>
            <w:r>
              <w:rPr>
                <w:b w:val="0"/>
                <w:sz w:val="17"/>
              </w:rPr>
              <w:t>RAG_leakage</w:t>
            </w:r>
          </w:p>
        </w:tc>
        <w:tc>
          <w:tcPr>
            <w:tcW w:type="dxa" w:w="3408"/>
            <w:vAlign w:val="top"/>
          </w:tcPr>
          <w:p>
            <w:r>
              <w:rPr>
                <w:sz w:val="17"/>
              </w:rPr>
            </w:r>
            <w:r>
              <w:rPr>
                <w:b w:val="0"/>
                <w:sz w:val="17"/>
              </w:rPr>
              <w:t>1.5</w:t>
            </w:r>
          </w:p>
        </w:tc>
        <w:tc>
          <w:tcPr>
            <w:tcW w:type="dxa" w:w="3408"/>
            <w:vAlign w:val="top"/>
          </w:tcPr>
          <w:p>
            <w:r>
              <w:rPr>
                <w:sz w:val="17"/>
              </w:rPr>
            </w:r>
            <w:r>
              <w:rPr>
                <w:b w:val="0"/>
                <w:sz w:val="17"/>
              </w:rPr>
              <w:t>1.5</w:t>
            </w:r>
          </w:p>
        </w:tc>
      </w:tr>
      <w:tr>
        <w:tc>
          <w:tcPr>
            <w:tcW w:type="dxa" w:w="3408"/>
            <w:vAlign w:val="top"/>
          </w:tcPr>
          <w:p>
            <w:r>
              <w:rPr>
                <w:sz w:val="17"/>
              </w:rPr>
            </w:r>
            <w:r>
              <w:rPr>
                <w:b w:val="0"/>
                <w:sz w:val="17"/>
              </w:rPr>
              <w:t>Prompt_Injection</w:t>
            </w:r>
          </w:p>
        </w:tc>
        <w:tc>
          <w:tcPr>
            <w:tcW w:type="dxa" w:w="3408"/>
            <w:vAlign w:val="top"/>
          </w:tcPr>
          <w:p>
            <w:r>
              <w:rPr>
                <w:sz w:val="17"/>
              </w:rPr>
            </w:r>
            <w:r>
              <w:rPr>
                <w:b w:val="0"/>
                <w:sz w:val="17"/>
              </w:rPr>
              <w:t>1.5</w:t>
            </w:r>
          </w:p>
        </w:tc>
        <w:tc>
          <w:tcPr>
            <w:tcW w:type="dxa" w:w="3408"/>
            <w:vAlign w:val="top"/>
          </w:tcPr>
          <w:p>
            <w:r>
              <w:rPr>
                <w:sz w:val="17"/>
              </w:rPr>
            </w:r>
            <w:r>
              <w:rPr>
                <w:b w:val="0"/>
                <w:sz w:val="17"/>
              </w:rPr>
              <w:t>1.5</w:t>
            </w:r>
          </w:p>
        </w:tc>
      </w:tr>
      <w:tr>
        <w:tc>
          <w:tcPr>
            <w:tcW w:type="dxa" w:w="3408"/>
            <w:vAlign w:val="top"/>
          </w:tcPr>
          <w:p>
            <w:r>
              <w:rPr>
                <w:sz w:val="17"/>
              </w:rPr>
            </w:r>
            <w:r>
              <w:rPr>
                <w:b w:val="0"/>
                <w:sz w:val="17"/>
              </w:rPr>
              <w:t>Agent_Hijack</w:t>
            </w:r>
          </w:p>
        </w:tc>
        <w:tc>
          <w:tcPr>
            <w:tcW w:type="dxa" w:w="3408"/>
            <w:vAlign w:val="top"/>
          </w:tcPr>
          <w:p>
            <w:r>
              <w:rPr>
                <w:sz w:val="17"/>
              </w:rPr>
            </w:r>
            <w:r>
              <w:rPr>
                <w:b w:val="0"/>
                <w:sz w:val="17"/>
              </w:rPr>
              <w:t>1.5</w:t>
            </w:r>
          </w:p>
        </w:tc>
        <w:tc>
          <w:tcPr>
            <w:tcW w:type="dxa" w:w="3408"/>
            <w:vAlign w:val="top"/>
          </w:tcPr>
          <w:p>
            <w:r>
              <w:rPr>
                <w:sz w:val="17"/>
              </w:rPr>
            </w:r>
            <w:r>
              <w:rPr>
                <w:b w:val="0"/>
                <w:sz w:val="17"/>
              </w:rPr>
              <w:t>1.5</w:t>
            </w:r>
          </w:p>
        </w:tc>
      </w:tr>
      <w:tr>
        <w:tc>
          <w:tcPr>
            <w:tcW w:type="dxa" w:w="3408"/>
            <w:vAlign w:val="top"/>
          </w:tcPr>
          <w:p>
            <w:r>
              <w:rPr>
                <w:sz w:val="17"/>
              </w:rPr>
            </w:r>
            <w:r>
              <w:rPr>
                <w:b w:val="0"/>
                <w:sz w:val="17"/>
              </w:rPr>
              <w:t>Agentic</w:t>
            </w:r>
          </w:p>
        </w:tc>
        <w:tc>
          <w:tcPr>
            <w:tcW w:type="dxa" w:w="3408"/>
            <w:vAlign w:val="top"/>
          </w:tcPr>
          <w:p>
            <w:r>
              <w:rPr>
                <w:sz w:val="17"/>
              </w:rPr>
            </w:r>
            <w:r>
              <w:rPr>
                <w:b w:val="0"/>
                <w:sz w:val="17"/>
              </w:rPr>
              <w:t>1.0</w:t>
            </w:r>
          </w:p>
        </w:tc>
        <w:tc>
          <w:tcPr>
            <w:tcW w:type="dxa" w:w="3408"/>
            <w:vAlign w:val="top"/>
          </w:tcPr>
          <w:p>
            <w:r>
              <w:rPr>
                <w:sz w:val="17"/>
              </w:rPr>
            </w:r>
            <w:r>
              <w:rPr>
                <w:b w:val="0"/>
                <w:sz w:val="17"/>
              </w:rPr>
              <w:t>1.0</w:t>
            </w:r>
          </w:p>
        </w:tc>
      </w:tr>
      <w:tr>
        <w:tc>
          <w:tcPr>
            <w:tcW w:type="dxa" w:w="3408"/>
            <w:vAlign w:val="top"/>
          </w:tcPr>
          <w:p>
            <w:r>
              <w:rPr>
                <w:sz w:val="17"/>
              </w:rPr>
            </w:r>
            <w:r>
              <w:rPr>
                <w:b w:val="0"/>
                <w:sz w:val="17"/>
              </w:rPr>
              <w:t>Adversarial</w:t>
            </w:r>
          </w:p>
        </w:tc>
        <w:tc>
          <w:tcPr>
            <w:tcW w:type="dxa" w:w="3408"/>
            <w:vAlign w:val="top"/>
          </w:tcPr>
          <w:p>
            <w:r>
              <w:rPr>
                <w:sz w:val="17"/>
              </w:rPr>
            </w:r>
            <w:r>
              <w:rPr>
                <w:b w:val="0"/>
                <w:sz w:val="17"/>
              </w:rPr>
              <w:t>0.5</w:t>
            </w:r>
          </w:p>
        </w:tc>
        <w:tc>
          <w:tcPr>
            <w:tcW w:type="dxa" w:w="3408"/>
            <w:vAlign w:val="top"/>
          </w:tcPr>
          <w:p>
            <w:r>
              <w:rPr>
                <w:sz w:val="17"/>
              </w:rPr>
            </w:r>
            <w:r>
              <w:rPr>
                <w:b w:val="0"/>
                <w:sz w:val="17"/>
              </w:rPr>
              <w:t>0.5</w:t>
            </w:r>
          </w:p>
        </w:tc>
      </w:tr>
    </w:tbl>
    <w:p/>
    <w:p>
      <w:pPr>
        <w:pStyle w:val="Heading2"/>
      </w:pPr>
      <w:r>
        <w:t>4.2 Normative Calculation</w:t>
      </w:r>
    </w:p>
    <w:p>
      <w:r>
        <w:t>The normative UAIF v1.0 calculation SHALL follow this order: dominant-harm anchor; diminishing context contribution; impact scale using MAX(population, blast radius); inverted temporal confidence reduction; final analytical and presentation scores. Implementations SHALL NOT use collapsed single-score fields or non-normative stakeholder multipliers.</w:t>
      </w:r>
    </w:p>
    <w:p>
      <w:pPr>
        <w:pStyle w:val="NoSpacing"/>
      </w:pPr>
      <w:r>
        <w:rPr>
          <w:rFonts w:ascii="Courier New" w:hAnsi="Courier New" w:eastAsia="Courier New"/>
          <w:sz w:val="16"/>
        </w:rPr>
        <w:t>from decimal import Decimal, ROUND_HALF_UP</w:t>
      </w:r>
    </w:p>
    <w:p>
      <w:pPr>
        <w:pStyle w:val="NoSpacing"/>
      </w:pPr>
      <w:r>
        <w:rPr>
          <w:rFonts w:ascii="Courier New" w:hAnsi="Courier New" w:eastAsia="Courier New"/>
          <w:sz w:val="16"/>
        </w:rPr>
      </w:r>
    </w:p>
    <w:p>
      <w:pPr>
        <w:pStyle w:val="NoSpacing"/>
      </w:pPr>
      <w:r>
        <w:rPr>
          <w:rFonts w:ascii="Courier New" w:hAnsi="Courier New" w:eastAsia="Courier New"/>
          <w:sz w:val="16"/>
        </w:rPr>
        <w:t>HARM_WEIGHTS = {</w:t>
      </w:r>
    </w:p>
    <w:p>
      <w:pPr>
        <w:pStyle w:val="NoSpacing"/>
      </w:pPr>
      <w:r>
        <w:rPr>
          <w:rFonts w:ascii="Courier New" w:hAnsi="Courier New" w:eastAsia="Courier New"/>
          <w:sz w:val="16"/>
        </w:rPr>
        <w:t xml:space="preserve">    "Physical_Harm": 4.0,</w:t>
      </w:r>
    </w:p>
    <w:p>
      <w:pPr>
        <w:pStyle w:val="NoSpacing"/>
      </w:pPr>
      <w:r>
        <w:rPr>
          <w:rFonts w:ascii="Courier New" w:hAnsi="Courier New" w:eastAsia="Courier New"/>
          <w:sz w:val="16"/>
        </w:rPr>
        <w:t xml:space="preserve">    "Environmental_Harm": 3.5,</w:t>
      </w:r>
    </w:p>
    <w:p>
      <w:pPr>
        <w:pStyle w:val="NoSpacing"/>
      </w:pPr>
      <w:r>
        <w:rPr>
          <w:rFonts w:ascii="Courier New" w:hAnsi="Courier New" w:eastAsia="Courier New"/>
          <w:sz w:val="16"/>
        </w:rPr>
        <w:t xml:space="preserve">    "Security_Integrity": 3.5,</w:t>
      </w:r>
    </w:p>
    <w:p>
      <w:pPr>
        <w:pStyle w:val="NoSpacing"/>
      </w:pPr>
      <w:r>
        <w:rPr>
          <w:rFonts w:ascii="Courier New" w:hAnsi="Courier New" w:eastAsia="Courier New"/>
          <w:sz w:val="16"/>
        </w:rPr>
        <w:t xml:space="preserve">    "Privacy_Violation": 3.0,</w:t>
      </w:r>
    </w:p>
    <w:p>
      <w:pPr>
        <w:pStyle w:val="NoSpacing"/>
      </w:pPr>
      <w:r>
        <w:rPr>
          <w:rFonts w:ascii="Courier New" w:hAnsi="Courier New" w:eastAsia="Courier New"/>
          <w:sz w:val="16"/>
        </w:rPr>
        <w:t xml:space="preserve">    "Financial_Loss": 2.5,</w:t>
      </w:r>
    </w:p>
    <w:p>
      <w:pPr>
        <w:pStyle w:val="NoSpacing"/>
      </w:pPr>
      <w:r>
        <w:rPr>
          <w:rFonts w:ascii="Courier New" w:hAnsi="Courier New" w:eastAsia="Courier New"/>
          <w:sz w:val="16"/>
        </w:rPr>
        <w:t xml:space="preserve">    "Psychological_Harm": 2.0,</w:t>
      </w:r>
    </w:p>
    <w:p>
      <w:pPr>
        <w:pStyle w:val="NoSpacing"/>
      </w:pPr>
      <w:r>
        <w:rPr>
          <w:rFonts w:ascii="Courier New" w:hAnsi="Courier New" w:eastAsia="Courier New"/>
          <w:sz w:val="16"/>
        </w:rPr>
        <w:t xml:space="preserve">    "Property_Damage": 2.0,</w:t>
      </w:r>
    </w:p>
    <w:p>
      <w:pPr>
        <w:pStyle w:val="NoSpacing"/>
      </w:pPr>
      <w:r>
        <w:rPr>
          <w:rFonts w:ascii="Courier New" w:hAnsi="Courier New" w:eastAsia="Courier New"/>
          <w:sz w:val="16"/>
        </w:rPr>
        <w:t xml:space="preserve">    "Reputational_Harm": 1.5,</w:t>
      </w:r>
    </w:p>
    <w:p>
      <w:pPr>
        <w:pStyle w:val="NoSpacing"/>
      </w:pPr>
      <w:r>
        <w:rPr>
          <w:rFonts w:ascii="Courier New" w:hAnsi="Courier New" w:eastAsia="Courier New"/>
          <w:sz w:val="16"/>
        </w:rPr>
        <w:t>}</w:t>
      </w:r>
    </w:p>
    <w:p>
      <w:pPr>
        <w:pStyle w:val="NoSpacing"/>
      </w:pPr>
      <w:r>
        <w:rPr>
          <w:rFonts w:ascii="Courier New" w:hAnsi="Courier New" w:eastAsia="Courier New"/>
          <w:sz w:val="16"/>
        </w:rPr>
        <w:t>CONTEXT_MODIFIERS = {</w:t>
      </w:r>
    </w:p>
    <w:p>
      <w:pPr>
        <w:pStyle w:val="NoSpacing"/>
      </w:pPr>
      <w:r>
        <w:rPr>
          <w:rFonts w:ascii="Courier New" w:hAnsi="Courier New" w:eastAsia="Courier New"/>
          <w:sz w:val="16"/>
        </w:rPr>
        <w:t xml:space="preserve">    "Model_Poisoning": 2.0,</w:t>
      </w:r>
    </w:p>
    <w:p>
      <w:pPr>
        <w:pStyle w:val="NoSpacing"/>
      </w:pPr>
      <w:r>
        <w:rPr>
          <w:rFonts w:ascii="Courier New" w:hAnsi="Courier New" w:eastAsia="Courier New"/>
          <w:sz w:val="16"/>
        </w:rPr>
        <w:t xml:space="preserve">    "RAG_leakage": 1.5,</w:t>
      </w:r>
    </w:p>
    <w:p>
      <w:pPr>
        <w:pStyle w:val="NoSpacing"/>
      </w:pPr>
      <w:r>
        <w:rPr>
          <w:rFonts w:ascii="Courier New" w:hAnsi="Courier New" w:eastAsia="Courier New"/>
          <w:sz w:val="16"/>
        </w:rPr>
        <w:t xml:space="preserve">    "Prompt_Injection": 1.5,</w:t>
      </w:r>
    </w:p>
    <w:p>
      <w:pPr>
        <w:pStyle w:val="NoSpacing"/>
      </w:pPr>
      <w:r>
        <w:rPr>
          <w:rFonts w:ascii="Courier New" w:hAnsi="Courier New" w:eastAsia="Courier New"/>
          <w:sz w:val="16"/>
        </w:rPr>
        <w:t xml:space="preserve">    "Agent_Hijack": 1.5,</w:t>
      </w:r>
    </w:p>
    <w:p>
      <w:pPr>
        <w:pStyle w:val="NoSpacing"/>
      </w:pPr>
      <w:r>
        <w:rPr>
          <w:rFonts w:ascii="Courier New" w:hAnsi="Courier New" w:eastAsia="Courier New"/>
          <w:sz w:val="16"/>
        </w:rPr>
        <w:t xml:space="preserve">    "Agentic": 1.0,</w:t>
      </w:r>
    </w:p>
    <w:p>
      <w:pPr>
        <w:pStyle w:val="NoSpacing"/>
      </w:pPr>
      <w:r>
        <w:rPr>
          <w:rFonts w:ascii="Courier New" w:hAnsi="Courier New" w:eastAsia="Courier New"/>
          <w:sz w:val="16"/>
        </w:rPr>
        <w:t xml:space="preserve">    "Adversarial": 0.5,</w:t>
      </w:r>
    </w:p>
    <w:p>
      <w:pPr>
        <w:pStyle w:val="NoSpacing"/>
      </w:pPr>
      <w:r>
        <w:rPr>
          <w:rFonts w:ascii="Courier New" w:hAnsi="Courier New" w:eastAsia="Courier New"/>
          <w:sz w:val="16"/>
        </w:rPr>
        <w:t>}</w:t>
      </w:r>
    </w:p>
    <w:p>
      <w:pPr>
        <w:pStyle w:val="NoSpacing"/>
      </w:pPr>
      <w:r>
        <w:rPr>
          <w:rFonts w:ascii="Courier New" w:hAnsi="Courier New" w:eastAsia="Courier New"/>
          <w:sz w:val="16"/>
        </w:rPr>
        <w:t>DEFAULT_REGULATED_ZONES = {</w:t>
      </w:r>
    </w:p>
    <w:p>
      <w:pPr>
        <w:pStyle w:val="NoSpacing"/>
      </w:pPr>
      <w:r>
        <w:rPr>
          <w:rFonts w:ascii="Courier New" w:hAnsi="Courier New" w:eastAsia="Courier New"/>
          <w:sz w:val="16"/>
        </w:rPr>
        <w:t xml:space="preserve">    "AT","BE","BG","HR","CY","CZ","DK","EE","FI","FR","DE","GR","HU","IE",</w:t>
      </w:r>
    </w:p>
    <w:p>
      <w:pPr>
        <w:pStyle w:val="NoSpacing"/>
      </w:pPr>
      <w:r>
        <w:rPr>
          <w:rFonts w:ascii="Courier New" w:hAnsi="Courier New" w:eastAsia="Courier New"/>
          <w:sz w:val="16"/>
        </w:rPr>
        <w:t xml:space="preserve">    "IT","LV","LT","LU","MT","NL","PL","PT","RO","SK","SI","ES","SE","NO","IS","LI"</w:t>
      </w:r>
    </w:p>
    <w:p>
      <w:pPr>
        <w:pStyle w:val="NoSpacing"/>
      </w:pPr>
      <w:r>
        <w:rPr>
          <w:rFonts w:ascii="Courier New" w:hAnsi="Courier New" w:eastAsia="Courier New"/>
          <w:sz w:val="16"/>
        </w:rPr>
        <w:t>}</w:t>
      </w:r>
    </w:p>
    <w:p>
      <w:pPr>
        <w:pStyle w:val="NoSpacing"/>
      </w:pPr>
      <w:r>
        <w:rPr>
          <w:rFonts w:ascii="Courier New" w:hAnsi="Courier New" w:eastAsia="Courier New"/>
          <w:sz w:val="16"/>
        </w:rPr>
      </w:r>
    </w:p>
    <w:p>
      <w:pPr>
        <w:pStyle w:val="NoSpacing"/>
      </w:pPr>
      <w:r>
        <w:rPr>
          <w:rFonts w:ascii="Courier New" w:hAnsi="Courier New" w:eastAsia="Courier New"/>
          <w:sz w:val="16"/>
        </w:rPr>
        <w:t>def _round_decimal(value, places=1):</w:t>
      </w:r>
    </w:p>
    <w:p>
      <w:pPr>
        <w:pStyle w:val="NoSpacing"/>
      </w:pPr>
      <w:r>
        <w:rPr>
          <w:rFonts w:ascii="Courier New" w:hAnsi="Courier New" w:eastAsia="Courier New"/>
          <w:sz w:val="16"/>
        </w:rPr>
        <w:t xml:space="preserve">    quantum = Decimal("1." + ("0" * places)) if places else Decimal("1")</w:t>
      </w:r>
    </w:p>
    <w:p>
      <w:pPr>
        <w:pStyle w:val="NoSpacing"/>
      </w:pPr>
      <w:r>
        <w:rPr>
          <w:rFonts w:ascii="Courier New" w:hAnsi="Courier New" w:eastAsia="Courier New"/>
          <w:sz w:val="16"/>
        </w:rPr>
        <w:t xml:space="preserve">    return float(Decimal(str(value)).quantize(quantum, rounding=ROUND_HALF_UP))</w:t>
      </w:r>
    </w:p>
    <w:p>
      <w:pPr>
        <w:pStyle w:val="NoSpacing"/>
      </w:pPr>
      <w:r>
        <w:rPr>
          <w:rFonts w:ascii="Courier New" w:hAnsi="Courier New" w:eastAsia="Courier New"/>
          <w:sz w:val="16"/>
        </w:rPr>
      </w:r>
    </w:p>
    <w:p>
      <w:pPr>
        <w:pStyle w:val="NoSpacing"/>
      </w:pPr>
      <w:r>
        <w:rPr>
          <w:rFonts w:ascii="Courier New" w:hAnsi="Courier New" w:eastAsia="Courier New"/>
          <w:sz w:val="16"/>
        </w:rPr>
        <w:t>def _calculate_context_contribution(context_list):</w:t>
      </w:r>
    </w:p>
    <w:p>
      <w:pPr>
        <w:pStyle w:val="NoSpacing"/>
      </w:pPr>
      <w:r>
        <w:rPr>
          <w:rFonts w:ascii="Courier New" w:hAnsi="Courier New" w:eastAsia="Courier New"/>
          <w:sz w:val="16"/>
        </w:rPr>
        <w:t xml:space="preserve">    valid = sorted([(c, CONTEXT_MODIFIERS[c]) for c in context_list if c in CONTEXT_MODIFIERS], key=lambda x: x[1], reverse=True)</w:t>
      </w:r>
    </w:p>
    <w:p>
      <w:pPr>
        <w:pStyle w:val="NoSpacing"/>
      </w:pPr>
      <w:r>
        <w:rPr>
          <w:rFonts w:ascii="Courier New" w:hAnsi="Courier New" w:eastAsia="Courier New"/>
          <w:sz w:val="16"/>
        </w:rPr>
        <w:t xml:space="preserve">    total, factor, applied = 0.0, 1.0, []</w:t>
      </w:r>
    </w:p>
    <w:p>
      <w:pPr>
        <w:pStyle w:val="NoSpacing"/>
      </w:pPr>
      <w:r>
        <w:rPr>
          <w:rFonts w:ascii="Courier New" w:hAnsi="Courier New" w:eastAsia="Courier New"/>
          <w:sz w:val="16"/>
        </w:rPr>
        <w:t xml:space="preserve">    for ctx, base in valid:</w:t>
      </w:r>
    </w:p>
    <w:p>
      <w:pPr>
        <w:pStyle w:val="NoSpacing"/>
      </w:pPr>
      <w:r>
        <w:rPr>
          <w:rFonts w:ascii="Courier New" w:hAnsi="Courier New" w:eastAsia="Courier New"/>
          <w:sz w:val="16"/>
        </w:rPr>
        <w:t xml:space="preserve">        capped = min(1.5, base)</w:t>
      </w:r>
    </w:p>
    <w:p>
      <w:pPr>
        <w:pStyle w:val="NoSpacing"/>
      </w:pPr>
      <w:r>
        <w:rPr>
          <w:rFonts w:ascii="Courier New" w:hAnsi="Courier New" w:eastAsia="Courier New"/>
          <w:sz w:val="16"/>
        </w:rPr>
        <w:t xml:space="preserve">        contribution = capped * factor</w:t>
      </w:r>
    </w:p>
    <w:p>
      <w:pPr>
        <w:pStyle w:val="NoSpacing"/>
      </w:pPr>
      <w:r>
        <w:rPr>
          <w:rFonts w:ascii="Courier New" w:hAnsi="Courier New" w:eastAsia="Courier New"/>
          <w:sz w:val="16"/>
        </w:rPr>
        <w:t xml:space="preserve">        total += contribution</w:t>
      </w:r>
    </w:p>
    <w:p>
      <w:pPr>
        <w:pStyle w:val="NoSpacing"/>
      </w:pPr>
      <w:r>
        <w:rPr>
          <w:rFonts w:ascii="Courier New" w:hAnsi="Courier New" w:eastAsia="Courier New"/>
          <w:sz w:val="16"/>
        </w:rPr>
        <w:t xml:space="preserve">        applied.append({"context": ctx, "base_value": base, "contribution_factor": factor, "effective_contribution": _round_decimal(contribution, 2)})</w:t>
      </w:r>
    </w:p>
    <w:p>
      <w:pPr>
        <w:pStyle w:val="NoSpacing"/>
      </w:pPr>
      <w:r>
        <w:rPr>
          <w:rFonts w:ascii="Courier New" w:hAnsi="Courier New" w:eastAsia="Courier New"/>
          <w:sz w:val="16"/>
        </w:rPr>
        <w:t xml:space="preserve">        if total &gt;= 3.0:</w:t>
      </w:r>
    </w:p>
    <w:p>
      <w:pPr>
        <w:pStyle w:val="NoSpacing"/>
      </w:pPr>
      <w:r>
        <w:rPr>
          <w:rFonts w:ascii="Courier New" w:hAnsi="Courier New" w:eastAsia="Courier New"/>
          <w:sz w:val="16"/>
        </w:rPr>
        <w:t xml:space="preserve">            break</w:t>
      </w:r>
    </w:p>
    <w:p>
      <w:pPr>
        <w:pStyle w:val="NoSpacing"/>
      </w:pPr>
      <w:r>
        <w:rPr>
          <w:rFonts w:ascii="Courier New" w:hAnsi="Courier New" w:eastAsia="Courier New"/>
          <w:sz w:val="16"/>
        </w:rPr>
        <w:t xml:space="preserve">        factor *= 0.5</w:t>
      </w:r>
    </w:p>
    <w:p>
      <w:pPr>
        <w:pStyle w:val="NoSpacing"/>
      </w:pPr>
      <w:r>
        <w:rPr>
          <w:rFonts w:ascii="Courier New" w:hAnsi="Courier New" w:eastAsia="Courier New"/>
          <w:sz w:val="16"/>
        </w:rPr>
        <w:t xml:space="preserve">    return min(3.0, total), applied</w:t>
      </w:r>
    </w:p>
    <w:p>
      <w:pPr>
        <w:pStyle w:val="NoSpacing"/>
      </w:pPr>
      <w:r>
        <w:rPr>
          <w:rFonts w:ascii="Courier New" w:hAnsi="Courier New" w:eastAsia="Courier New"/>
          <w:sz w:val="16"/>
        </w:rPr>
      </w:r>
    </w:p>
    <w:p>
      <w:pPr>
        <w:pStyle w:val="NoSpacing"/>
      </w:pPr>
      <w:r>
        <w:rPr>
          <w:rFonts w:ascii="Courier New" w:hAnsi="Courier New" w:eastAsia="Courier New"/>
          <w:sz w:val="16"/>
        </w:rPr>
        <w:t>def score_to_level(score):</w:t>
      </w:r>
    </w:p>
    <w:p>
      <w:pPr>
        <w:pStyle w:val="NoSpacing"/>
      </w:pPr>
      <w:r>
        <w:rPr>
          <w:rFonts w:ascii="Courier New" w:hAnsi="Courier New" w:eastAsia="Courier New"/>
          <w:sz w:val="16"/>
        </w:rPr>
        <w:t xml:space="preserve">    if score &lt; 2.0: return 1</w:t>
      </w:r>
    </w:p>
    <w:p>
      <w:pPr>
        <w:pStyle w:val="NoSpacing"/>
      </w:pPr>
      <w:r>
        <w:rPr>
          <w:rFonts w:ascii="Courier New" w:hAnsi="Courier New" w:eastAsia="Courier New"/>
          <w:sz w:val="16"/>
        </w:rPr>
        <w:t xml:space="preserve">    if score &lt; 4.0: return 2</w:t>
      </w:r>
    </w:p>
    <w:p>
      <w:pPr>
        <w:pStyle w:val="NoSpacing"/>
      </w:pPr>
      <w:r>
        <w:rPr>
          <w:rFonts w:ascii="Courier New" w:hAnsi="Courier New" w:eastAsia="Courier New"/>
          <w:sz w:val="16"/>
        </w:rPr>
        <w:t xml:space="preserve">    if score &lt; 6.5: return 3</w:t>
      </w:r>
    </w:p>
    <w:p>
      <w:pPr>
        <w:pStyle w:val="NoSpacing"/>
      </w:pPr>
      <w:r>
        <w:rPr>
          <w:rFonts w:ascii="Courier New" w:hAnsi="Courier New" w:eastAsia="Courier New"/>
          <w:sz w:val="16"/>
        </w:rPr>
        <w:t xml:space="preserve">    if score &lt; 8.5: return 4</w:t>
      </w:r>
    </w:p>
    <w:p>
      <w:pPr>
        <w:pStyle w:val="NoSpacing"/>
      </w:pPr>
      <w:r>
        <w:rPr>
          <w:rFonts w:ascii="Courier New" w:hAnsi="Courier New" w:eastAsia="Courier New"/>
          <w:sz w:val="16"/>
        </w:rPr>
        <w:t xml:space="preserve">    return 5</w:t>
      </w:r>
    </w:p>
    <w:p>
      <w:pPr>
        <w:pStyle w:val="NoSpacing"/>
      </w:pPr>
      <w:r>
        <w:rPr>
          <w:rFonts w:ascii="Courier New" w:hAnsi="Courier New" w:eastAsia="Courier New"/>
          <w:sz w:val="16"/>
        </w:rPr>
      </w:r>
    </w:p>
    <w:p>
      <w:pPr>
        <w:pStyle w:val="NoSpacing"/>
      </w:pPr>
      <w:r>
        <w:rPr>
          <w:rFonts w:ascii="Courier New" w:hAnsi="Courier New" w:eastAsia="Courier New"/>
          <w:sz w:val="16"/>
        </w:rPr>
        <w:t>def calculate_uaif_severity(harms, contexts, population_multiplier, blast_radius_multiplier, attribution_conf, investigation_status, evidence_quality):</w:t>
      </w:r>
    </w:p>
    <w:p>
      <w:pPr>
        <w:pStyle w:val="NoSpacing"/>
      </w:pPr>
      <w:r>
        <w:rPr>
          <w:rFonts w:ascii="Courier New" w:hAnsi="Courier New" w:eastAsia="Courier New"/>
          <w:sz w:val="16"/>
        </w:rPr>
        <w:t xml:space="preserve">    valid_harms = [(h, HARM_WEIGHTS[h]) for h in harms if h in HARM_WEIGHTS]</w:t>
      </w:r>
    </w:p>
    <w:p>
      <w:pPr>
        <w:pStyle w:val="NoSpacing"/>
      </w:pPr>
      <w:r>
        <w:rPr>
          <w:rFonts w:ascii="Courier New" w:hAnsi="Courier New" w:eastAsia="Courier New"/>
          <w:sz w:val="16"/>
        </w:rPr>
        <w:t xml:space="preserve">    if not valid_harms:</w:t>
      </w:r>
    </w:p>
    <w:p>
      <w:pPr>
        <w:pStyle w:val="NoSpacing"/>
      </w:pPr>
      <w:r>
        <w:rPr>
          <w:rFonts w:ascii="Courier New" w:hAnsi="Courier New" w:eastAsia="Courier New"/>
          <w:sz w:val="16"/>
        </w:rPr>
        <w:t xml:space="preserve">        return {"severity_analytical_score": 0.0, "severity_presentation_score": 0.0, "severity_level": 1}</w:t>
      </w:r>
    </w:p>
    <w:p>
      <w:pPr>
        <w:pStyle w:val="NoSpacing"/>
      </w:pPr>
      <w:r>
        <w:rPr>
          <w:rFonts w:ascii="Courier New" w:hAnsi="Courier New" w:eastAsia="Courier New"/>
          <w:sz w:val="16"/>
        </w:rPr>
        <w:t xml:space="preserve">    dominant_harm, dominant_weight = max(valid_harms, key=lambda x: x[1])</w:t>
      </w:r>
    </w:p>
    <w:p>
      <w:pPr>
        <w:pStyle w:val="NoSpacing"/>
      </w:pPr>
      <w:r>
        <w:rPr>
          <w:rFonts w:ascii="Courier New" w:hAnsi="Courier New" w:eastAsia="Courier New"/>
          <w:sz w:val="16"/>
        </w:rPr>
        <w:t xml:space="preserve">    others_sum = sum(w for h, w in valid_harms if h != dominant_harm)</w:t>
      </w:r>
    </w:p>
    <w:p>
      <w:pPr>
        <w:pStyle w:val="NoSpacing"/>
      </w:pPr>
      <w:r>
        <w:rPr>
          <w:rFonts w:ascii="Courier New" w:hAnsi="Courier New" w:eastAsia="Courier New"/>
          <w:sz w:val="16"/>
        </w:rPr>
        <w:t xml:space="preserve">    adjusted_base = _round_decimal(dominant_weight + min(2.0, 0.5 * others_sum), 1)</w:t>
      </w:r>
    </w:p>
    <w:p>
      <w:pPr>
        <w:pStyle w:val="NoSpacing"/>
      </w:pPr>
      <w:r>
        <w:rPr>
          <w:rFonts w:ascii="Courier New" w:hAnsi="Courier New" w:eastAsia="Courier New"/>
          <w:sz w:val="16"/>
        </w:rPr>
        <w:t xml:space="preserve">    context_add, context_audit = _calculate_context_contribution(contexts)</w:t>
      </w:r>
    </w:p>
    <w:p>
      <w:pPr>
        <w:pStyle w:val="NoSpacing"/>
      </w:pPr>
      <w:r>
        <w:rPr>
          <w:rFonts w:ascii="Courier New" w:hAnsi="Courier New" w:eastAsia="Courier New"/>
          <w:sz w:val="16"/>
        </w:rPr>
        <w:t xml:space="preserve">    context_add = _round_decimal(context_add, 2)</w:t>
      </w:r>
    </w:p>
    <w:p>
      <w:pPr>
        <w:pStyle w:val="NoSpacing"/>
      </w:pPr>
      <w:r>
        <w:rPr>
          <w:rFonts w:ascii="Courier New" w:hAnsi="Courier New" w:eastAsia="Courier New"/>
          <w:sz w:val="16"/>
        </w:rPr>
        <w:t xml:space="preserve">    base_score = _round_decimal(min(10.0, adjusted_base + context_add), 1)</w:t>
      </w:r>
    </w:p>
    <w:p>
      <w:pPr>
        <w:pStyle w:val="NoSpacing"/>
      </w:pPr>
      <w:r>
        <w:rPr>
          <w:rFonts w:ascii="Courier New" w:hAnsi="Courier New" w:eastAsia="Courier New"/>
          <w:sz w:val="16"/>
        </w:rPr>
        <w:t xml:space="preserve">    impact_scale = _round_decimal(min(1.8, max(population_multiplier, blast_radius_multiplier)), 2)</w:t>
      </w:r>
    </w:p>
    <w:p>
      <w:pPr>
        <w:pStyle w:val="NoSpacing"/>
      </w:pPr>
      <w:r>
        <w:rPr>
          <w:rFonts w:ascii="Courier New" w:hAnsi="Courier New" w:eastAsia="Courier New"/>
          <w:sz w:val="16"/>
        </w:rPr>
        <w:t xml:space="preserve">    confidence_factor = _round_decimal((attribution_conf + investigation_status + evidence_quality) / 3.0, 2)</w:t>
      </w:r>
    </w:p>
    <w:p>
      <w:pPr>
        <w:pStyle w:val="NoSpacing"/>
      </w:pPr>
      <w:r>
        <w:rPr>
          <w:rFonts w:ascii="Courier New" w:hAnsi="Courier New" w:eastAsia="Courier New"/>
          <w:sz w:val="16"/>
        </w:rPr>
        <w:t xml:space="preserve">    temporal_reduction = _round_decimal((1.0 - confidence_factor) * 0.5, 2)</w:t>
      </w:r>
    </w:p>
    <w:p>
      <w:pPr>
        <w:pStyle w:val="NoSpacing"/>
      </w:pPr>
      <w:r>
        <w:rPr>
          <w:rFonts w:ascii="Courier New" w:hAnsi="Courier New" w:eastAsia="Courier New"/>
          <w:sz w:val="16"/>
        </w:rPr>
        <w:t xml:space="preserve">    temporal_adjustment = _round_decimal(base_score * (1.0 - temporal_reduction), 1)</w:t>
      </w:r>
    </w:p>
    <w:p>
      <w:pPr>
        <w:pStyle w:val="NoSpacing"/>
      </w:pPr>
      <w:r>
        <w:rPr>
          <w:rFonts w:ascii="Courier New" w:hAnsi="Courier New" w:eastAsia="Courier New"/>
          <w:sz w:val="16"/>
        </w:rPr>
        <w:t xml:space="preserve">    presentation_score = _round_decimal(max(0.0, min(10.0, temporal_adjustment * impact_scale)), 1)</w:t>
      </w:r>
    </w:p>
    <w:p>
      <w:pPr>
        <w:pStyle w:val="NoSpacing"/>
      </w:pPr>
      <w:r>
        <w:rPr>
          <w:rFonts w:ascii="Courier New" w:hAnsi="Courier New" w:eastAsia="Courier New"/>
          <w:sz w:val="16"/>
        </w:rPr>
        <w:t xml:space="preserve">    return {</w:t>
      </w:r>
    </w:p>
    <w:p>
      <w:pPr>
        <w:pStyle w:val="NoSpacing"/>
      </w:pPr>
      <w:r>
        <w:rPr>
          <w:rFonts w:ascii="Courier New" w:hAnsi="Courier New" w:eastAsia="Courier New"/>
          <w:sz w:val="16"/>
        </w:rPr>
        <w:t xml:space="preserve">        "severity_analytical_score": base_score,</w:t>
      </w:r>
    </w:p>
    <w:p>
      <w:pPr>
        <w:pStyle w:val="NoSpacing"/>
      </w:pPr>
      <w:r>
        <w:rPr>
          <w:rFonts w:ascii="Courier New" w:hAnsi="Courier New" w:eastAsia="Courier New"/>
          <w:sz w:val="16"/>
        </w:rPr>
        <w:t xml:space="preserve">        "severity_presentation_score": presentation_score,</w:t>
      </w:r>
    </w:p>
    <w:p>
      <w:pPr>
        <w:pStyle w:val="NoSpacing"/>
      </w:pPr>
      <w:r>
        <w:rPr>
          <w:rFonts w:ascii="Courier New" w:hAnsi="Courier New" w:eastAsia="Courier New"/>
          <w:sz w:val="16"/>
        </w:rPr>
        <w:t xml:space="preserve">        "severity_level": score_to_level(presentation_score),</w:t>
      </w:r>
    </w:p>
    <w:p>
      <w:pPr>
        <w:pStyle w:val="NoSpacing"/>
      </w:pPr>
      <w:r>
        <w:rPr>
          <w:rFonts w:ascii="Courier New" w:hAnsi="Courier New" w:eastAsia="Courier New"/>
          <w:sz w:val="16"/>
        </w:rPr>
        <w:t xml:space="preserve">        "severity_rationale": {</w:t>
      </w:r>
    </w:p>
    <w:p>
      <w:pPr>
        <w:pStyle w:val="NoSpacing"/>
      </w:pPr>
      <w:r>
        <w:rPr>
          <w:rFonts w:ascii="Courier New" w:hAnsi="Courier New" w:eastAsia="Courier New"/>
          <w:sz w:val="16"/>
        </w:rPr>
        <w:t xml:space="preserve">            "dominant_harm": dominant_harm,</w:t>
      </w:r>
    </w:p>
    <w:p>
      <w:pPr>
        <w:pStyle w:val="NoSpacing"/>
      </w:pPr>
      <w:r>
        <w:rPr>
          <w:rFonts w:ascii="Courier New" w:hAnsi="Courier New" w:eastAsia="Courier New"/>
          <w:sz w:val="16"/>
        </w:rPr>
        <w:t xml:space="preserve">            "dominant_weight": dominant_weight,</w:t>
      </w:r>
    </w:p>
    <w:p>
      <w:pPr>
        <w:pStyle w:val="NoSpacing"/>
      </w:pPr>
      <w:r>
        <w:rPr>
          <w:rFonts w:ascii="Courier New" w:hAnsi="Courier New" w:eastAsia="Courier New"/>
          <w:sz w:val="16"/>
        </w:rPr>
        <w:t xml:space="preserve">            "context_modifiers_applied": context_audit,</w:t>
      </w:r>
    </w:p>
    <w:p>
      <w:pPr>
        <w:pStyle w:val="NoSpacing"/>
      </w:pPr>
      <w:r>
        <w:rPr>
          <w:rFonts w:ascii="Courier New" w:hAnsi="Courier New" w:eastAsia="Courier New"/>
          <w:sz w:val="16"/>
        </w:rPr>
        <w:t xml:space="preserve">            "context_modifier_sum": context_add,</w:t>
      </w:r>
    </w:p>
    <w:p>
      <w:pPr>
        <w:pStyle w:val="NoSpacing"/>
      </w:pPr>
      <w:r>
        <w:rPr>
          <w:rFonts w:ascii="Courier New" w:hAnsi="Courier New" w:eastAsia="Courier New"/>
          <w:sz w:val="16"/>
        </w:rPr>
        <w:t xml:space="preserve">            "population_multiplier": population_multiplier,</w:t>
      </w:r>
    </w:p>
    <w:p>
      <w:pPr>
        <w:pStyle w:val="NoSpacing"/>
      </w:pPr>
      <w:r>
        <w:rPr>
          <w:rFonts w:ascii="Courier New" w:hAnsi="Courier New" w:eastAsia="Courier New"/>
          <w:sz w:val="16"/>
        </w:rPr>
        <w:t xml:space="preserve">            "blast_radius_multiplier": blast_radius_multiplier,</w:t>
      </w:r>
    </w:p>
    <w:p>
      <w:pPr>
        <w:pStyle w:val="NoSpacing"/>
      </w:pPr>
      <w:r>
        <w:rPr>
          <w:rFonts w:ascii="Courier New" w:hAnsi="Courier New" w:eastAsia="Courier New"/>
          <w:sz w:val="16"/>
        </w:rPr>
        <w:t xml:space="preserve">            "impact_scale": impact_scale,</w:t>
      </w:r>
    </w:p>
    <w:p>
      <w:pPr>
        <w:pStyle w:val="NoSpacing"/>
      </w:pPr>
      <w:r>
        <w:rPr>
          <w:rFonts w:ascii="Courier New" w:hAnsi="Courier New" w:eastAsia="Courier New"/>
          <w:sz w:val="16"/>
        </w:rPr>
        <w:t xml:space="preserve">            "confidence_factor": confidence_factor,</w:t>
      </w:r>
    </w:p>
    <w:p>
      <w:pPr>
        <w:pStyle w:val="NoSpacing"/>
      </w:pPr>
      <w:r>
        <w:rPr>
          <w:rFonts w:ascii="Courier New" w:hAnsi="Courier New" w:eastAsia="Courier New"/>
          <w:sz w:val="16"/>
        </w:rPr>
        <w:t xml:space="preserve">            "temporal_reduction": temporal_reduction,</w:t>
      </w:r>
    </w:p>
    <w:p>
      <w:pPr>
        <w:pStyle w:val="NoSpacing"/>
      </w:pPr>
      <w:r>
        <w:rPr>
          <w:rFonts w:ascii="Courier New" w:hAnsi="Courier New" w:eastAsia="Courier New"/>
          <w:sz w:val="16"/>
        </w:rPr>
        <w:t xml:space="preserve">            "temporal_adjustment": temporal_adjustment,</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r>
    </w:p>
    <w:p>
      <w:pPr>
        <w:pStyle w:val="NoSpacing"/>
      </w:pPr>
      <w:r>
        <w:rPr>
          <w:rFonts w:ascii="Courier New" w:hAnsi="Courier New" w:eastAsia="Courier New"/>
          <w:sz w:val="16"/>
        </w:rPr>
        <w:t>def calculate_regulatory_trigger_confidence(severity_presentation_score, calibration_status, jurisdiction_country_code, sensitive_data=False, critical_sector=False, vulnerable_population=False, regulated_zones=None, threshold_score=6.5):</w:t>
      </w:r>
    </w:p>
    <w:p>
      <w:pPr>
        <w:pStyle w:val="NoSpacing"/>
      </w:pPr>
      <w:r>
        <w:rPr>
          <w:rFonts w:ascii="Courier New" w:hAnsi="Courier New" w:eastAsia="Courier New"/>
          <w:sz w:val="16"/>
        </w:rPr>
        <w:t xml:space="preserve">    country_base = jurisdiction_country_code.split("-")[0].upper()</w:t>
      </w:r>
    </w:p>
    <w:p>
      <w:pPr>
        <w:pStyle w:val="NoSpacing"/>
      </w:pPr>
      <w:r>
        <w:rPr>
          <w:rFonts w:ascii="Courier New" w:hAnsi="Courier New" w:eastAsia="Courier New"/>
          <w:sz w:val="16"/>
        </w:rPr>
        <w:t xml:space="preserve">    zones = set(regulated_zones) if regulated_zones else DEFAULT_REGULATED_ZONES</w:t>
      </w:r>
    </w:p>
    <w:p>
      <w:pPr>
        <w:pStyle w:val="NoSpacing"/>
      </w:pPr>
      <w:r>
        <w:rPr>
          <w:rFonts w:ascii="Courier New" w:hAnsi="Courier New" w:eastAsia="Courier New"/>
          <w:sz w:val="16"/>
        </w:rPr>
        <w:t xml:space="preserve">    base_trigger = (severity_presentation_score &gt;= threshold_score) and (country_base in zones)</w:t>
      </w:r>
    </w:p>
    <w:p>
      <w:pPr>
        <w:pStyle w:val="NoSpacing"/>
      </w:pPr>
      <w:r>
        <w:rPr>
          <w:rFonts w:ascii="Courier New" w:hAnsi="Courier New" w:eastAsia="Courier New"/>
          <w:sz w:val="16"/>
        </w:rPr>
        <w:t xml:space="preserve">    distance = abs(severity_presentation_score - threshold_score)</w:t>
      </w:r>
    </w:p>
    <w:p>
      <w:pPr>
        <w:pStyle w:val="NoSpacing"/>
      </w:pPr>
      <w:r>
        <w:rPr>
          <w:rFonts w:ascii="Courier New" w:hAnsi="Courier New" w:eastAsia="Courier New"/>
          <w:sz w:val="16"/>
        </w:rPr>
        <w:t xml:space="preserve">    if calibration_status == "sector_validated":</w:t>
      </w:r>
    </w:p>
    <w:p>
      <w:pPr>
        <w:pStyle w:val="NoSpacing"/>
      </w:pPr>
      <w:r>
        <w:rPr>
          <w:rFonts w:ascii="Courier New" w:hAnsi="Courier New" w:eastAsia="Courier New"/>
          <w:sz w:val="16"/>
        </w:rPr>
        <w:t xml:space="preserve">        confidence = "HIGH" if distance &gt;= 0.3 else "MEDIUM"</w:t>
      </w:r>
    </w:p>
    <w:p>
      <w:pPr>
        <w:pStyle w:val="NoSpacing"/>
      </w:pPr>
      <w:r>
        <w:rPr>
          <w:rFonts w:ascii="Courier New" w:hAnsi="Courier New" w:eastAsia="Courier New"/>
          <w:sz w:val="16"/>
        </w:rPr>
        <w:t xml:space="preserve">    elif calibration_status == "custom":</w:t>
      </w:r>
    </w:p>
    <w:p>
      <w:pPr>
        <w:pStyle w:val="NoSpacing"/>
      </w:pPr>
      <w:r>
        <w:rPr>
          <w:rFonts w:ascii="Courier New" w:hAnsi="Courier New" w:eastAsia="Courier New"/>
          <w:sz w:val="16"/>
        </w:rPr>
        <w:t xml:space="preserve">        confidence = "MEDIUM"</w:t>
      </w:r>
    </w:p>
    <w:p>
      <w:pPr>
        <w:pStyle w:val="NoSpacing"/>
      </w:pPr>
      <w:r>
        <w:rPr>
          <w:rFonts w:ascii="Courier New" w:hAnsi="Courier New" w:eastAsia="Courier New"/>
          <w:sz w:val="16"/>
        </w:rPr>
        <w:t xml:space="preserve">    else:</w:t>
      </w:r>
    </w:p>
    <w:p>
      <w:pPr>
        <w:pStyle w:val="NoSpacing"/>
      </w:pPr>
      <w:r>
        <w:rPr>
          <w:rFonts w:ascii="Courier New" w:hAnsi="Courier New" w:eastAsia="Courier New"/>
          <w:sz w:val="16"/>
        </w:rPr>
        <w:t xml:space="preserve">        confidence = "MEDIUM" if distance &gt;= 0.5 else "LOW"</w:t>
      </w:r>
    </w:p>
    <w:p>
      <w:pPr>
        <w:pStyle w:val="NoSpacing"/>
      </w:pPr>
      <w:r>
        <w:rPr>
          <w:rFonts w:ascii="Courier New" w:hAnsi="Courier New" w:eastAsia="Courier New"/>
          <w:sz w:val="16"/>
        </w:rPr>
        <w:t xml:space="preserve">    enrichment_active = sensitive_data or critical_sector or vulnerable_population</w:t>
      </w:r>
    </w:p>
    <w:p>
      <w:pPr>
        <w:pStyle w:val="NoSpacing"/>
      </w:pPr>
      <w:r>
        <w:rPr>
          <w:rFonts w:ascii="Courier New" w:hAnsi="Courier New" w:eastAsia="Courier New"/>
          <w:sz w:val="16"/>
        </w:rPr>
        <w:t xml:space="preserve">    trigger = base_trigger and ((confidence == "HIGH") or (confidence == "MEDIUM" and enrichment_active))</w:t>
      </w:r>
    </w:p>
    <w:p>
      <w:pPr>
        <w:pStyle w:val="NoSpacing"/>
      </w:pPr>
      <w:r>
        <w:rPr>
          <w:rFonts w:ascii="Courier New" w:hAnsi="Courier New" w:eastAsia="Courier New"/>
          <w:sz w:val="16"/>
        </w:rPr>
        <w:t xml:space="preserve">    return {"regulatory_trigger": trigger, "trigger_confidence": confidence, "human_review_recommended": confidence == "LOW", "distance_from_threshold": round(distance, 2), "legal_notice": "UAIF regulatory trigger is technical routing assistance only; legal counsel determines EU AI Act Article 73 obligations."}</w:t>
      </w:r>
    </w:p>
    <w:p/>
    <w:p>
      <w:pPr>
        <w:pStyle w:val="Heading2"/>
      </w:pPr>
      <w:r>
        <w:t>4.3 Impact Scale and Temporal Adjustment</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top"/>
            <w:shd w:fill="1F4E79"/>
          </w:tcPr>
          <w:p>
            <w:r>
              <w:rPr>
                <w:sz w:val="17"/>
              </w:rPr>
            </w:r>
            <w:r>
              <w:rPr>
                <w:b/>
                <w:color w:val="FFFFFF"/>
                <w:sz w:val="17"/>
              </w:rPr>
              <w:t>Population</w:t>
            </w:r>
          </w:p>
        </w:tc>
        <w:tc>
          <w:tcPr>
            <w:tcW w:type="dxa" w:w="2556"/>
            <w:vAlign w:val="top"/>
            <w:shd w:fill="1F4E79"/>
          </w:tcPr>
          <w:p>
            <w:r>
              <w:rPr>
                <w:sz w:val="17"/>
              </w:rPr>
            </w:r>
            <w:r>
              <w:rPr>
                <w:b/>
                <w:color w:val="FFFFFF"/>
                <w:sz w:val="17"/>
              </w:rPr>
              <w:t>Multiplier</w:t>
            </w:r>
          </w:p>
        </w:tc>
        <w:tc>
          <w:tcPr>
            <w:tcW w:type="dxa" w:w="2556"/>
            <w:vAlign w:val="top"/>
            <w:shd w:fill="1F4E79"/>
          </w:tcPr>
          <w:p>
            <w:r>
              <w:rPr>
                <w:sz w:val="17"/>
              </w:rPr>
            </w:r>
            <w:r>
              <w:rPr>
                <w:b/>
                <w:color w:val="FFFFFF"/>
                <w:sz w:val="17"/>
              </w:rPr>
              <w:t>Blast Radius</w:t>
            </w:r>
          </w:p>
        </w:tc>
        <w:tc>
          <w:tcPr>
            <w:tcW w:type="dxa" w:w="2556"/>
            <w:vAlign w:val="top"/>
            <w:shd w:fill="1F4E79"/>
          </w:tcPr>
          <w:p>
            <w:r>
              <w:rPr>
                <w:sz w:val="17"/>
              </w:rPr>
            </w:r>
            <w:r>
              <w:rPr>
                <w:b/>
                <w:color w:val="FFFFFF"/>
                <w:sz w:val="17"/>
              </w:rPr>
              <w:t>Multiplier</w:t>
            </w:r>
          </w:p>
        </w:tc>
      </w:tr>
      <w:tr>
        <w:tc>
          <w:tcPr>
            <w:tcW w:type="dxa" w:w="2556"/>
            <w:vAlign w:val="top"/>
          </w:tcPr>
          <w:p>
            <w:r>
              <w:rPr>
                <w:sz w:val="17"/>
              </w:rPr>
            </w:r>
            <w:r>
              <w:rPr>
                <w:b w:val="0"/>
                <w:sz w:val="17"/>
              </w:rPr>
              <w:t>1-10</w:t>
            </w:r>
          </w:p>
        </w:tc>
        <w:tc>
          <w:tcPr>
            <w:tcW w:type="dxa" w:w="2556"/>
            <w:vAlign w:val="top"/>
          </w:tcPr>
          <w:p>
            <w:r>
              <w:rPr>
                <w:sz w:val="17"/>
              </w:rPr>
            </w:r>
            <w:r>
              <w:rPr>
                <w:b w:val="0"/>
                <w:sz w:val="17"/>
              </w:rPr>
              <w:t>0.8</w:t>
            </w:r>
          </w:p>
        </w:tc>
        <w:tc>
          <w:tcPr>
            <w:tcW w:type="dxa" w:w="2556"/>
            <w:vAlign w:val="top"/>
          </w:tcPr>
          <w:p>
            <w:r>
              <w:rPr>
                <w:sz w:val="17"/>
              </w:rPr>
            </w:r>
            <w:r>
              <w:rPr>
                <w:b w:val="0"/>
                <w:sz w:val="17"/>
              </w:rPr>
              <w:t>single_system</w:t>
            </w:r>
          </w:p>
        </w:tc>
        <w:tc>
          <w:tcPr>
            <w:tcW w:type="dxa" w:w="2556"/>
            <w:vAlign w:val="top"/>
          </w:tcPr>
          <w:p>
            <w:r>
              <w:rPr>
                <w:sz w:val="17"/>
              </w:rPr>
            </w:r>
            <w:r>
              <w:rPr>
                <w:b w:val="0"/>
                <w:sz w:val="17"/>
              </w:rPr>
              <w:t>1.0</w:t>
            </w:r>
          </w:p>
        </w:tc>
      </w:tr>
      <w:tr>
        <w:tc>
          <w:tcPr>
            <w:tcW w:type="dxa" w:w="2556"/>
            <w:vAlign w:val="top"/>
          </w:tcPr>
          <w:p>
            <w:r>
              <w:rPr>
                <w:sz w:val="17"/>
              </w:rPr>
            </w:r>
            <w:r>
              <w:rPr>
                <w:b w:val="0"/>
                <w:sz w:val="17"/>
              </w:rPr>
              <w:t>11-100</w:t>
            </w:r>
          </w:p>
        </w:tc>
        <w:tc>
          <w:tcPr>
            <w:tcW w:type="dxa" w:w="2556"/>
            <w:vAlign w:val="top"/>
          </w:tcPr>
          <w:p>
            <w:r>
              <w:rPr>
                <w:sz w:val="17"/>
              </w:rPr>
            </w:r>
            <w:r>
              <w:rPr>
                <w:b w:val="0"/>
                <w:sz w:val="17"/>
              </w:rPr>
              <w:t>1.0</w:t>
            </w:r>
          </w:p>
        </w:tc>
        <w:tc>
          <w:tcPr>
            <w:tcW w:type="dxa" w:w="2556"/>
            <w:vAlign w:val="top"/>
          </w:tcPr>
          <w:p>
            <w:r>
              <w:rPr>
                <w:sz w:val="17"/>
              </w:rPr>
            </w:r>
            <w:r>
              <w:rPr>
                <w:b w:val="0"/>
                <w:sz w:val="17"/>
              </w:rPr>
              <w:t>business_unit</w:t>
            </w:r>
          </w:p>
        </w:tc>
        <w:tc>
          <w:tcPr>
            <w:tcW w:type="dxa" w:w="2556"/>
            <w:vAlign w:val="top"/>
          </w:tcPr>
          <w:p>
            <w:r>
              <w:rPr>
                <w:sz w:val="17"/>
              </w:rPr>
            </w:r>
            <w:r>
              <w:rPr>
                <w:b w:val="0"/>
                <w:sz w:val="17"/>
              </w:rPr>
              <w:t>1.2</w:t>
            </w:r>
          </w:p>
        </w:tc>
      </w:tr>
      <w:tr>
        <w:tc>
          <w:tcPr>
            <w:tcW w:type="dxa" w:w="2556"/>
            <w:vAlign w:val="top"/>
          </w:tcPr>
          <w:p>
            <w:r>
              <w:rPr>
                <w:sz w:val="17"/>
              </w:rPr>
            </w:r>
            <w:r>
              <w:rPr>
                <w:b w:val="0"/>
                <w:sz w:val="17"/>
              </w:rPr>
              <w:t>101-1,000</w:t>
            </w:r>
          </w:p>
        </w:tc>
        <w:tc>
          <w:tcPr>
            <w:tcW w:type="dxa" w:w="2556"/>
            <w:vAlign w:val="top"/>
          </w:tcPr>
          <w:p>
            <w:r>
              <w:rPr>
                <w:sz w:val="17"/>
              </w:rPr>
            </w:r>
            <w:r>
              <w:rPr>
                <w:b w:val="0"/>
                <w:sz w:val="17"/>
              </w:rPr>
              <w:t>1.2</w:t>
            </w:r>
          </w:p>
        </w:tc>
        <w:tc>
          <w:tcPr>
            <w:tcW w:type="dxa" w:w="2556"/>
            <w:vAlign w:val="top"/>
          </w:tcPr>
          <w:p>
            <w:r>
              <w:rPr>
                <w:sz w:val="17"/>
              </w:rPr>
            </w:r>
            <w:r>
              <w:rPr>
                <w:b w:val="0"/>
                <w:sz w:val="17"/>
              </w:rPr>
              <w:t>entire_org</w:t>
            </w:r>
          </w:p>
        </w:tc>
        <w:tc>
          <w:tcPr>
            <w:tcW w:type="dxa" w:w="2556"/>
            <w:vAlign w:val="top"/>
          </w:tcPr>
          <w:p>
            <w:r>
              <w:rPr>
                <w:sz w:val="17"/>
              </w:rPr>
            </w:r>
            <w:r>
              <w:rPr>
                <w:b w:val="0"/>
                <w:sz w:val="17"/>
              </w:rPr>
              <w:t>1.4</w:t>
            </w:r>
          </w:p>
        </w:tc>
      </w:tr>
      <w:tr>
        <w:tc>
          <w:tcPr>
            <w:tcW w:type="dxa" w:w="2556"/>
            <w:vAlign w:val="top"/>
          </w:tcPr>
          <w:p>
            <w:r>
              <w:rPr>
                <w:sz w:val="17"/>
              </w:rPr>
            </w:r>
            <w:r>
              <w:rPr>
                <w:b w:val="0"/>
                <w:sz w:val="17"/>
              </w:rPr>
              <w:t>1,001-10,000</w:t>
            </w:r>
          </w:p>
        </w:tc>
        <w:tc>
          <w:tcPr>
            <w:tcW w:type="dxa" w:w="2556"/>
            <w:vAlign w:val="top"/>
          </w:tcPr>
          <w:p>
            <w:r>
              <w:rPr>
                <w:sz w:val="17"/>
              </w:rPr>
            </w:r>
            <w:r>
              <w:rPr>
                <w:b w:val="0"/>
                <w:sz w:val="17"/>
              </w:rPr>
              <w:t>1.4</w:t>
            </w:r>
          </w:p>
        </w:tc>
        <w:tc>
          <w:tcPr>
            <w:tcW w:type="dxa" w:w="2556"/>
            <w:vAlign w:val="top"/>
          </w:tcPr>
          <w:p>
            <w:r>
              <w:rPr>
                <w:sz w:val="17"/>
              </w:rPr>
            </w:r>
            <w:r>
              <w:rPr>
                <w:b w:val="0"/>
                <w:sz w:val="17"/>
              </w:rPr>
              <w:t>cross_org</w:t>
            </w:r>
          </w:p>
        </w:tc>
        <w:tc>
          <w:tcPr>
            <w:tcW w:type="dxa" w:w="2556"/>
            <w:vAlign w:val="top"/>
          </w:tcPr>
          <w:p>
            <w:r>
              <w:rPr>
                <w:sz w:val="17"/>
              </w:rPr>
            </w:r>
            <w:r>
              <w:rPr>
                <w:b w:val="0"/>
                <w:sz w:val="17"/>
              </w:rPr>
              <w:t>1.6</w:t>
            </w:r>
          </w:p>
        </w:tc>
      </w:tr>
      <w:tr>
        <w:tc>
          <w:tcPr>
            <w:tcW w:type="dxa" w:w="2556"/>
            <w:vAlign w:val="top"/>
          </w:tcPr>
          <w:p>
            <w:r>
              <w:rPr>
                <w:sz w:val="17"/>
              </w:rPr>
            </w:r>
            <w:r>
              <w:rPr>
                <w:b w:val="0"/>
                <w:sz w:val="17"/>
              </w:rPr>
              <w:t>&gt;10,000</w:t>
            </w:r>
          </w:p>
        </w:tc>
        <w:tc>
          <w:tcPr>
            <w:tcW w:type="dxa" w:w="2556"/>
            <w:vAlign w:val="top"/>
          </w:tcPr>
          <w:p>
            <w:r>
              <w:rPr>
                <w:sz w:val="17"/>
              </w:rPr>
            </w:r>
            <w:r>
              <w:rPr>
                <w:b w:val="0"/>
                <w:sz w:val="17"/>
              </w:rPr>
              <w:t>1.6</w:t>
            </w:r>
          </w:p>
        </w:tc>
        <w:tc>
          <w:tcPr>
            <w:tcW w:type="dxa" w:w="2556"/>
            <w:vAlign w:val="top"/>
          </w:tcPr>
          <w:p>
            <w:r>
              <w:rPr>
                <w:sz w:val="17"/>
              </w:rPr>
            </w:r>
            <w:r>
              <w:rPr>
                <w:b w:val="0"/>
                <w:sz w:val="17"/>
              </w:rPr>
              <w:t>critical_infra</w:t>
            </w:r>
          </w:p>
        </w:tc>
        <w:tc>
          <w:tcPr>
            <w:tcW w:type="dxa" w:w="2556"/>
            <w:vAlign w:val="top"/>
          </w:tcPr>
          <w:p>
            <w:r>
              <w:rPr>
                <w:sz w:val="17"/>
              </w:rPr>
            </w:r>
            <w:r>
              <w:rPr>
                <w:b w:val="0"/>
                <w:sz w:val="17"/>
              </w:rPr>
              <w:t>1.8</w:t>
            </w:r>
          </w:p>
        </w:tc>
      </w:tr>
    </w:tbl>
    <w:p/>
    <w:p>
      <w:r>
        <w:t>Impact scale = min(1.8, max(population_multiplier, blast_radius_multiplier)). This prevents double-counting of scale dimensions.</w:t>
      </w:r>
    </w:p>
    <w:p>
      <w:pPr>
        <w:pStyle w:val="Heading2"/>
      </w:pPr>
      <w:r>
        <w:t>4.4 Rounding Rule</w:t>
      </w:r>
    </w:p>
    <w:p>
      <w:r>
        <w:t>All decimal scores SHALL use Decimal ROUND_HALF_UP. Score fields SHALL be rounded to one decimal place. Ratio or internal contribution values MAY be rounded to two decimal places where specified by severity_rationale.</w:t>
      </w:r>
    </w:p>
    <w:p>
      <w:pPr>
        <w:pStyle w:val="Heading2"/>
      </w:pPr>
      <w:r>
        <w:t>4.5 Severity Matrix</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top"/>
            <w:shd w:fill="1F4E79"/>
          </w:tcPr>
          <w:p>
            <w:r>
              <w:rPr>
                <w:sz w:val="17"/>
              </w:rPr>
            </w:r>
            <w:r>
              <w:rPr>
                <w:b/>
                <w:color w:val="FFFFFF"/>
                <w:sz w:val="17"/>
              </w:rPr>
              <w:t>Level</w:t>
            </w:r>
          </w:p>
        </w:tc>
        <w:tc>
          <w:tcPr>
            <w:tcW w:type="dxa" w:w="2556"/>
            <w:vAlign w:val="top"/>
            <w:shd w:fill="1F4E79"/>
          </w:tcPr>
          <w:p>
            <w:r>
              <w:rPr>
                <w:sz w:val="17"/>
              </w:rPr>
            </w:r>
            <w:r>
              <w:rPr>
                <w:b/>
                <w:color w:val="FFFFFF"/>
                <w:sz w:val="17"/>
              </w:rPr>
              <w:t>Presentation Score Range</w:t>
            </w:r>
          </w:p>
        </w:tc>
        <w:tc>
          <w:tcPr>
            <w:tcW w:type="dxa" w:w="2556"/>
            <w:vAlign w:val="top"/>
            <w:shd w:fill="1F4E79"/>
          </w:tcPr>
          <w:p>
            <w:r>
              <w:rPr>
                <w:sz w:val="17"/>
              </w:rPr>
            </w:r>
            <w:r>
              <w:rPr>
                <w:b/>
                <w:color w:val="FFFFFF"/>
                <w:sz w:val="17"/>
              </w:rPr>
              <w:t>Indicative Harm Threshold</w:t>
            </w:r>
          </w:p>
        </w:tc>
        <w:tc>
          <w:tcPr>
            <w:tcW w:type="dxa" w:w="2556"/>
            <w:vAlign w:val="top"/>
            <w:shd w:fill="1F4E79"/>
          </w:tcPr>
          <w:p>
            <w:r>
              <w:rPr>
                <w:sz w:val="17"/>
              </w:rPr>
            </w:r>
            <w:r>
              <w:rPr>
                <w:b/>
                <w:color w:val="FFFFFF"/>
                <w:sz w:val="17"/>
              </w:rPr>
              <w:t>Regulatory Routing</w:t>
            </w:r>
          </w:p>
        </w:tc>
      </w:tr>
      <w:tr>
        <w:tc>
          <w:tcPr>
            <w:tcW w:type="dxa" w:w="2556"/>
            <w:vAlign w:val="top"/>
          </w:tcPr>
          <w:p>
            <w:r>
              <w:rPr>
                <w:sz w:val="17"/>
              </w:rPr>
            </w:r>
            <w:r>
              <w:rPr>
                <w:b w:val="0"/>
                <w:sz w:val="17"/>
              </w:rPr>
              <w:t>1 Info</w:t>
            </w:r>
          </w:p>
        </w:tc>
        <w:tc>
          <w:tcPr>
            <w:tcW w:type="dxa" w:w="2556"/>
            <w:vAlign w:val="top"/>
          </w:tcPr>
          <w:p>
            <w:r>
              <w:rPr>
                <w:sz w:val="17"/>
              </w:rPr>
            </w:r>
            <w:r>
              <w:rPr>
                <w:b w:val="0"/>
                <w:sz w:val="17"/>
              </w:rPr>
              <w:t>0.0 &lt;= score &lt; 2.0</w:t>
            </w:r>
          </w:p>
        </w:tc>
        <w:tc>
          <w:tcPr>
            <w:tcW w:type="dxa" w:w="2556"/>
            <w:vAlign w:val="top"/>
          </w:tcPr>
          <w:p>
            <w:r>
              <w:rPr>
                <w:sz w:val="17"/>
              </w:rPr>
            </w:r>
            <w:r>
              <w:rPr>
                <w:b w:val="0"/>
                <w:sz w:val="17"/>
              </w:rPr>
              <w:t>No external harm</w:t>
            </w:r>
          </w:p>
        </w:tc>
        <w:tc>
          <w:tcPr>
            <w:tcW w:type="dxa" w:w="2556"/>
            <w:vAlign w:val="top"/>
          </w:tcPr>
          <w:p>
            <w:r>
              <w:rPr>
                <w:sz w:val="17"/>
              </w:rPr>
            </w:r>
            <w:r>
              <w:rPr>
                <w:b w:val="0"/>
                <w:sz w:val="17"/>
              </w:rPr>
              <w:t>None</w:t>
            </w:r>
          </w:p>
        </w:tc>
      </w:tr>
      <w:tr>
        <w:tc>
          <w:tcPr>
            <w:tcW w:type="dxa" w:w="2556"/>
            <w:vAlign w:val="top"/>
          </w:tcPr>
          <w:p>
            <w:r>
              <w:rPr>
                <w:sz w:val="17"/>
              </w:rPr>
            </w:r>
            <w:r>
              <w:rPr>
                <w:b w:val="0"/>
                <w:sz w:val="17"/>
              </w:rPr>
              <w:t>2 Low</w:t>
            </w:r>
          </w:p>
        </w:tc>
        <w:tc>
          <w:tcPr>
            <w:tcW w:type="dxa" w:w="2556"/>
            <w:vAlign w:val="top"/>
          </w:tcPr>
          <w:p>
            <w:r>
              <w:rPr>
                <w:sz w:val="17"/>
              </w:rPr>
            </w:r>
            <w:r>
              <w:rPr>
                <w:b w:val="0"/>
                <w:sz w:val="17"/>
              </w:rPr>
              <w:t>2.0 &lt;= score &lt; 4.0</w:t>
            </w:r>
          </w:p>
        </w:tc>
        <w:tc>
          <w:tcPr>
            <w:tcW w:type="dxa" w:w="2556"/>
            <w:vAlign w:val="top"/>
          </w:tcPr>
          <w:p>
            <w:r>
              <w:rPr>
                <w:sz w:val="17"/>
              </w:rPr>
            </w:r>
            <w:r>
              <w:rPr>
                <w:b w:val="0"/>
                <w:sz w:val="17"/>
              </w:rPr>
              <w:t>Minor confusion or &lt;$10K impact</w:t>
            </w:r>
          </w:p>
        </w:tc>
        <w:tc>
          <w:tcPr>
            <w:tcW w:type="dxa" w:w="2556"/>
            <w:vAlign w:val="top"/>
          </w:tcPr>
          <w:p>
            <w:r>
              <w:rPr>
                <w:sz w:val="17"/>
              </w:rPr>
            </w:r>
            <w:r>
              <w:rPr>
                <w:b w:val="0"/>
                <w:sz w:val="17"/>
              </w:rPr>
              <w:t>Internal audit only</w:t>
            </w:r>
          </w:p>
        </w:tc>
      </w:tr>
      <w:tr>
        <w:tc>
          <w:tcPr>
            <w:tcW w:type="dxa" w:w="2556"/>
            <w:vAlign w:val="top"/>
          </w:tcPr>
          <w:p>
            <w:r>
              <w:rPr>
                <w:sz w:val="17"/>
              </w:rPr>
            </w:r>
            <w:r>
              <w:rPr>
                <w:b w:val="0"/>
                <w:sz w:val="17"/>
              </w:rPr>
              <w:t>3 Medium</w:t>
            </w:r>
          </w:p>
        </w:tc>
        <w:tc>
          <w:tcPr>
            <w:tcW w:type="dxa" w:w="2556"/>
            <w:vAlign w:val="top"/>
          </w:tcPr>
          <w:p>
            <w:r>
              <w:rPr>
                <w:sz w:val="17"/>
              </w:rPr>
            </w:r>
            <w:r>
              <w:rPr>
                <w:b w:val="0"/>
                <w:sz w:val="17"/>
              </w:rPr>
              <w:t>4.0 &lt;= score &lt; 6.5</w:t>
            </w:r>
          </w:p>
        </w:tc>
        <w:tc>
          <w:tcPr>
            <w:tcW w:type="dxa" w:w="2556"/>
            <w:vAlign w:val="top"/>
          </w:tcPr>
          <w:p>
            <w:r>
              <w:rPr>
                <w:sz w:val="17"/>
              </w:rPr>
            </w:r>
            <w:r>
              <w:rPr>
                <w:b w:val="0"/>
                <w:sz w:val="17"/>
              </w:rPr>
              <w:t>Reputational/non-sensitive data/$10K-$100K</w:t>
            </w:r>
          </w:p>
        </w:tc>
        <w:tc>
          <w:tcPr>
            <w:tcW w:type="dxa" w:w="2556"/>
            <w:vAlign w:val="top"/>
          </w:tcPr>
          <w:p>
            <w:r>
              <w:rPr>
                <w:sz w:val="17"/>
              </w:rPr>
            </w:r>
            <w:r>
              <w:rPr>
                <w:b w:val="0"/>
                <w:sz w:val="17"/>
              </w:rPr>
              <w:t>Sectoral reporting if applicable</w:t>
            </w:r>
          </w:p>
        </w:tc>
      </w:tr>
      <w:tr>
        <w:tc>
          <w:tcPr>
            <w:tcW w:type="dxa" w:w="2556"/>
            <w:vAlign w:val="top"/>
          </w:tcPr>
          <w:p>
            <w:r>
              <w:rPr>
                <w:sz w:val="17"/>
              </w:rPr>
            </w:r>
            <w:r>
              <w:rPr>
                <w:b w:val="0"/>
                <w:sz w:val="17"/>
              </w:rPr>
              <w:t>4 High</w:t>
            </w:r>
          </w:p>
        </w:tc>
        <w:tc>
          <w:tcPr>
            <w:tcW w:type="dxa" w:w="2556"/>
            <w:vAlign w:val="top"/>
          </w:tcPr>
          <w:p>
            <w:r>
              <w:rPr>
                <w:sz w:val="17"/>
              </w:rPr>
            </w:r>
            <w:r>
              <w:rPr>
                <w:b w:val="0"/>
                <w:sz w:val="17"/>
              </w:rPr>
              <w:t>6.5 &lt;= score &lt; 8.5</w:t>
            </w:r>
          </w:p>
        </w:tc>
        <w:tc>
          <w:tcPr>
            <w:tcW w:type="dxa" w:w="2556"/>
            <w:vAlign w:val="top"/>
          </w:tcPr>
          <w:p>
            <w:r>
              <w:rPr>
                <w:sz w:val="17"/>
              </w:rPr>
            </w:r>
            <w:r>
              <w:rPr>
                <w:b w:val="0"/>
                <w:sz w:val="17"/>
              </w:rPr>
              <w:t>Physical safety, sensitive data, &gt;$100K</w:t>
            </w:r>
          </w:p>
        </w:tc>
        <w:tc>
          <w:tcPr>
            <w:tcW w:type="dxa" w:w="2556"/>
            <w:vAlign w:val="top"/>
          </w:tcPr>
          <w:p>
            <w:r>
              <w:rPr>
                <w:sz w:val="17"/>
              </w:rPr>
            </w:r>
            <w:r>
              <w:rPr>
                <w:b w:val="0"/>
                <w:sz w:val="17"/>
              </w:rPr>
              <w:t>EU AI Act Article 73 technical proxy where applicable</w:t>
            </w:r>
          </w:p>
        </w:tc>
      </w:tr>
      <w:tr>
        <w:tc>
          <w:tcPr>
            <w:tcW w:type="dxa" w:w="2556"/>
            <w:vAlign w:val="top"/>
          </w:tcPr>
          <w:p>
            <w:r>
              <w:rPr>
                <w:sz w:val="17"/>
              </w:rPr>
            </w:r>
            <w:r>
              <w:rPr>
                <w:b w:val="0"/>
                <w:sz w:val="17"/>
              </w:rPr>
              <w:t>5 Critical</w:t>
            </w:r>
          </w:p>
        </w:tc>
        <w:tc>
          <w:tcPr>
            <w:tcW w:type="dxa" w:w="2556"/>
            <w:vAlign w:val="top"/>
          </w:tcPr>
          <w:p>
            <w:r>
              <w:rPr>
                <w:sz w:val="17"/>
              </w:rPr>
            </w:r>
            <w:r>
              <w:rPr>
                <w:b w:val="0"/>
                <w:sz w:val="17"/>
              </w:rPr>
              <w:t>8.5 &lt;= score &lt;= 10.0</w:t>
            </w:r>
          </w:p>
        </w:tc>
        <w:tc>
          <w:tcPr>
            <w:tcW w:type="dxa" w:w="2556"/>
            <w:vAlign w:val="top"/>
          </w:tcPr>
          <w:p>
            <w:r>
              <w:rPr>
                <w:sz w:val="17"/>
              </w:rPr>
            </w:r>
            <w:r>
              <w:rPr>
                <w:b w:val="0"/>
                <w:sz w:val="17"/>
              </w:rPr>
              <w:t>Widespread societal harm, critical infrastructure, major systemic impact</w:t>
            </w:r>
          </w:p>
        </w:tc>
        <w:tc>
          <w:tcPr>
            <w:tcW w:type="dxa" w:w="2556"/>
            <w:vAlign w:val="top"/>
          </w:tcPr>
          <w:p>
            <w:r>
              <w:rPr>
                <w:sz w:val="17"/>
              </w:rPr>
            </w:r>
            <w:r>
              <w:rPr>
                <w:b w:val="0"/>
                <w:sz w:val="17"/>
              </w:rPr>
              <w:t>EU AI Act Article 73 serious incident proxy where applicable</w:t>
            </w:r>
          </w:p>
        </w:tc>
      </w:tr>
    </w:tbl>
    <w:p/>
    <w:p>
      <w:r>
        <w:t>Boundary rule: lower bounds are inclusive; upper bounds are exclusive except Level 5, where 10.0 is inclusive.</w:t>
      </w:r>
    </w:p>
    <w:p>
      <w:pPr>
        <w:pStyle w:val="Heading1"/>
      </w:pPr>
      <w:r>
        <w:t>5. Regulatory Trigger Logic</w:t>
      </w:r>
    </w:p>
    <w:p>
      <w:r>
        <w:t>UAIF regulatory_trigger is a technical routing flag. It SHALL NOT be treated as a legal determination. EU AI Act serious incident references SHALL use Article 73. Obsolete EU AI Act incident-reporting proxy references SHALL NOT be used in UAIF v1.0.</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Parameter</w:t>
            </w:r>
          </w:p>
        </w:tc>
        <w:tc>
          <w:tcPr>
            <w:tcW w:type="dxa" w:w="5112"/>
            <w:vAlign w:val="top"/>
            <w:shd w:fill="1F4E79"/>
          </w:tcPr>
          <w:p>
            <w:r>
              <w:rPr>
                <w:sz w:val="17"/>
              </w:rPr>
            </w:r>
            <w:r>
              <w:rPr>
                <w:b/>
                <w:color w:val="FFFFFF"/>
                <w:sz w:val="17"/>
              </w:rPr>
              <w:t>Normative Rule</w:t>
            </w:r>
          </w:p>
        </w:tc>
      </w:tr>
      <w:tr>
        <w:tc>
          <w:tcPr>
            <w:tcW w:type="dxa" w:w="5112"/>
            <w:vAlign w:val="top"/>
          </w:tcPr>
          <w:p>
            <w:r>
              <w:rPr>
                <w:sz w:val="17"/>
              </w:rPr>
            </w:r>
            <w:r>
              <w:rPr>
                <w:b w:val="0"/>
                <w:sz w:val="17"/>
              </w:rPr>
              <w:t>threshold_score</w:t>
            </w:r>
          </w:p>
        </w:tc>
        <w:tc>
          <w:tcPr>
            <w:tcW w:type="dxa" w:w="5112"/>
            <w:vAlign w:val="top"/>
          </w:tcPr>
          <w:p>
            <w:r>
              <w:rPr>
                <w:sz w:val="17"/>
              </w:rPr>
            </w:r>
            <w:r>
              <w:rPr>
                <w:b w:val="0"/>
                <w:sz w:val="17"/>
              </w:rPr>
              <w:t>Default 6.5, evaluated against severity_presentation_score.</w:t>
            </w:r>
          </w:p>
        </w:tc>
      </w:tr>
      <w:tr>
        <w:tc>
          <w:tcPr>
            <w:tcW w:type="dxa" w:w="5112"/>
            <w:vAlign w:val="top"/>
          </w:tcPr>
          <w:p>
            <w:r>
              <w:rPr>
                <w:sz w:val="17"/>
              </w:rPr>
            </w:r>
            <w:r>
              <w:rPr>
                <w:b w:val="0"/>
                <w:sz w:val="17"/>
              </w:rPr>
              <w:t>regulated_zones</w:t>
            </w:r>
          </w:p>
        </w:tc>
        <w:tc>
          <w:tcPr>
            <w:tcW w:type="dxa" w:w="5112"/>
            <w:vAlign w:val="top"/>
          </w:tcPr>
          <w:p>
            <w:r>
              <w:rPr>
                <w:sz w:val="17"/>
              </w:rPr>
            </w:r>
            <w:r>
              <w:rPr>
                <w:b w:val="0"/>
                <w:sz w:val="17"/>
              </w:rPr>
              <w:t>Default EEA jurisdictions: AT, BE, BG, HR, CY, CZ, DK, EE, FI, FR, DE, GR, HU, IE, IT, LV, LT, LU, MT, NL, PL, PT, RO, SK, SI, ES, SE, plus NO, IS, LI. Implementations MAY override by policy.</w:t>
            </w:r>
          </w:p>
        </w:tc>
      </w:tr>
      <w:tr>
        <w:tc>
          <w:tcPr>
            <w:tcW w:type="dxa" w:w="5112"/>
            <w:vAlign w:val="top"/>
          </w:tcPr>
          <w:p>
            <w:r>
              <w:rPr>
                <w:sz w:val="17"/>
              </w:rPr>
            </w:r>
            <w:r>
              <w:rPr>
                <w:b w:val="0"/>
                <w:sz w:val="17"/>
              </w:rPr>
              <w:t>confidence bands</w:t>
            </w:r>
          </w:p>
        </w:tc>
        <w:tc>
          <w:tcPr>
            <w:tcW w:type="dxa" w:w="5112"/>
            <w:vAlign w:val="top"/>
          </w:tcPr>
          <w:p>
            <w:r>
              <w:rPr>
                <w:sz w:val="17"/>
              </w:rPr>
            </w:r>
            <w:r>
              <w:rPr>
                <w:b w:val="0"/>
                <w:sz w:val="17"/>
              </w:rPr>
              <w:t>sector_validated: HIGH if distance &gt;=0.3 else MEDIUM. provisional: MEDIUM if distance &gt;=0.5 else LOW. custom: MEDIUM.</w:t>
            </w:r>
          </w:p>
        </w:tc>
      </w:tr>
      <w:tr>
        <w:tc>
          <w:tcPr>
            <w:tcW w:type="dxa" w:w="5112"/>
            <w:vAlign w:val="top"/>
          </w:tcPr>
          <w:p>
            <w:r>
              <w:rPr>
                <w:sz w:val="17"/>
              </w:rPr>
            </w:r>
            <w:r>
              <w:rPr>
                <w:b w:val="0"/>
                <w:sz w:val="17"/>
              </w:rPr>
              <w:t>human review</w:t>
            </w:r>
          </w:p>
        </w:tc>
        <w:tc>
          <w:tcPr>
            <w:tcW w:type="dxa" w:w="5112"/>
            <w:vAlign w:val="top"/>
          </w:tcPr>
          <w:p>
            <w:r>
              <w:rPr>
                <w:sz w:val="17"/>
              </w:rPr>
            </w:r>
            <w:r>
              <w:rPr>
                <w:b w:val="0"/>
                <w:sz w:val="17"/>
              </w:rPr>
              <w:t>Required when trigger_confidence is LOW; recommended where legal obligations are uncertain.</w:t>
            </w:r>
          </w:p>
        </w:tc>
      </w:tr>
      <w:tr>
        <w:tc>
          <w:tcPr>
            <w:tcW w:type="dxa" w:w="5112"/>
            <w:vAlign w:val="top"/>
          </w:tcPr>
          <w:p>
            <w:r>
              <w:rPr>
                <w:sz w:val="17"/>
              </w:rPr>
            </w:r>
            <w:r>
              <w:rPr>
                <w:b w:val="0"/>
                <w:sz w:val="17"/>
              </w:rPr>
              <w:t>reporting timelines</w:t>
            </w:r>
          </w:p>
        </w:tc>
        <w:tc>
          <w:tcPr>
            <w:tcW w:type="dxa" w:w="5112"/>
            <w:vAlign w:val="top"/>
          </w:tcPr>
          <w:p>
            <w:r>
              <w:rPr>
                <w:sz w:val="17"/>
              </w:rPr>
            </w:r>
            <w:r>
              <w:rPr>
                <w:b w:val="0"/>
                <w:sz w:val="17"/>
              </w:rPr>
              <w:t>EU AI Act Article 73 timing must be assessed by legal counsel. GDPR/NIS2/DORA timelines are separate and SHALL NOT be copied into EU AI Act routing logic.</w:t>
            </w:r>
          </w:p>
        </w:tc>
      </w:tr>
    </w:tbl>
    <w:p/>
    <w:p>
      <w:pPr>
        <w:pStyle w:val="Heading1"/>
      </w:pPr>
      <w:r>
        <w:t>6. Sector Taxonomy</w:t>
      </w:r>
    </w:p>
    <w:p>
      <w:r>
        <w:t>The normative sector_code field SHALL use the 19-code NIS2-aligned UAIF enum below. NAICS/NACE identifiers MAY be captured in optional mapping metadata fields such as nace_code_actual or naics_code_actual; they SHALL NOT replace sector_code.</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sector_code</w:t>
            </w:r>
          </w:p>
        </w:tc>
        <w:tc>
          <w:tcPr>
            <w:tcW w:type="dxa" w:w="5112"/>
            <w:vAlign w:val="top"/>
            <w:shd w:fill="1F4E79"/>
          </w:tcPr>
          <w:p>
            <w:r>
              <w:rPr>
                <w:sz w:val="17"/>
              </w:rPr>
            </w:r>
            <w:r>
              <w:rPr>
                <w:b/>
                <w:color w:val="FFFFFF"/>
                <w:sz w:val="17"/>
              </w:rPr>
              <w:t>Usage</w:t>
            </w:r>
          </w:p>
        </w:tc>
      </w:tr>
      <w:tr>
        <w:tc>
          <w:tcPr>
            <w:tcW w:type="dxa" w:w="5112"/>
            <w:vAlign w:val="top"/>
          </w:tcPr>
          <w:p>
            <w:r>
              <w:rPr>
                <w:sz w:val="17"/>
              </w:rPr>
            </w:r>
            <w:r>
              <w:rPr>
                <w:b w:val="0"/>
                <w:sz w:val="17"/>
              </w:rPr>
              <w:t>ENERGY</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TRANSPORT</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BANKING</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FINANCIAL_MARKETS</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HEALTH</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DRINKING_WATER</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WASTE_WATER</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DIGITAL_INFRA</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ICT_SERVICES</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PUBLIC_ADMIN</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SPACE</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POSTAL</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WASTE_MGMT</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CHEMICALS</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FOOD</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MANUFACTURING</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TELECOM</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RESEARCH</w:t>
            </w:r>
          </w:p>
        </w:tc>
        <w:tc>
          <w:tcPr>
            <w:tcW w:type="dxa" w:w="5112"/>
            <w:vAlign w:val="top"/>
          </w:tcPr>
          <w:p>
            <w:r>
              <w:rPr>
                <w:sz w:val="17"/>
              </w:rPr>
            </w:r>
            <w:r>
              <w:rPr>
                <w:b w:val="0"/>
                <w:sz w:val="17"/>
              </w:rPr>
              <w:t>Normative UAIF sector value</w:t>
            </w:r>
          </w:p>
        </w:tc>
      </w:tr>
      <w:tr>
        <w:tc>
          <w:tcPr>
            <w:tcW w:type="dxa" w:w="5112"/>
            <w:vAlign w:val="top"/>
          </w:tcPr>
          <w:p>
            <w:r>
              <w:rPr>
                <w:sz w:val="17"/>
              </w:rPr>
            </w:r>
            <w:r>
              <w:rPr>
                <w:b w:val="0"/>
                <w:sz w:val="17"/>
              </w:rPr>
              <w:t>OTHER</w:t>
            </w:r>
          </w:p>
        </w:tc>
        <w:tc>
          <w:tcPr>
            <w:tcW w:type="dxa" w:w="5112"/>
            <w:vAlign w:val="top"/>
          </w:tcPr>
          <w:p>
            <w:r>
              <w:rPr>
                <w:sz w:val="17"/>
              </w:rPr>
            </w:r>
            <w:r>
              <w:rPr>
                <w:b w:val="0"/>
                <w:sz w:val="17"/>
              </w:rPr>
              <w:t>Normative UAIF sector value</w:t>
            </w:r>
          </w:p>
        </w:tc>
      </w:tr>
    </w:tbl>
    <w:p/>
    <w:p>
      <w:pPr>
        <w:pStyle w:val="Heading1"/>
      </w:pPr>
      <w:r>
        <w:t>7. Governance, Versioning, and Supporting Documents</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Item</w:t>
            </w:r>
          </w:p>
        </w:tc>
        <w:tc>
          <w:tcPr>
            <w:tcW w:type="dxa" w:w="5112"/>
            <w:vAlign w:val="top"/>
            <w:shd w:fill="1F4E79"/>
          </w:tcPr>
          <w:p>
            <w:r>
              <w:rPr>
                <w:sz w:val="17"/>
              </w:rPr>
            </w:r>
            <w:r>
              <w:rPr>
                <w:b/>
                <w:color w:val="FFFFFF"/>
                <w:sz w:val="17"/>
              </w:rPr>
              <w:t>Rule</w:t>
            </w:r>
          </w:p>
        </w:tc>
      </w:tr>
      <w:tr>
        <w:tc>
          <w:tcPr>
            <w:tcW w:type="dxa" w:w="5112"/>
            <w:vAlign w:val="top"/>
          </w:tcPr>
          <w:p>
            <w:r>
              <w:rPr>
                <w:sz w:val="17"/>
              </w:rPr>
            </w:r>
            <w:r>
              <w:rPr>
                <w:b w:val="0"/>
                <w:sz w:val="17"/>
              </w:rPr>
              <w:t>Version display</w:t>
            </w:r>
          </w:p>
        </w:tc>
        <w:tc>
          <w:tcPr>
            <w:tcW w:type="dxa" w:w="5112"/>
            <w:vAlign w:val="top"/>
          </w:tcPr>
          <w:p>
            <w:r>
              <w:rPr>
                <w:sz w:val="17"/>
              </w:rPr>
            </w:r>
            <w:r>
              <w:rPr>
                <w:b w:val="0"/>
                <w:sz w:val="17"/>
              </w:rPr>
              <w:t>Use UAIF™ v1.0 in titles and market-facing text. Machine-readable schema metadata MAY use 1.0.0 only where explicitly described as semantic-version metadata.</w:t>
            </w:r>
          </w:p>
        </w:tc>
      </w:tr>
      <w:tr>
        <w:tc>
          <w:tcPr>
            <w:tcW w:type="dxa" w:w="5112"/>
            <w:vAlign w:val="top"/>
          </w:tcPr>
          <w:p>
            <w:r>
              <w:rPr>
                <w:sz w:val="17"/>
              </w:rPr>
            </w:r>
            <w:r>
              <w:rPr>
                <w:b w:val="0"/>
                <w:sz w:val="17"/>
              </w:rPr>
              <w:t>Change control</w:t>
            </w:r>
          </w:p>
        </w:tc>
        <w:tc>
          <w:tcPr>
            <w:tcW w:type="dxa" w:w="5112"/>
            <w:vAlign w:val="top"/>
          </w:tcPr>
          <w:p>
            <w:r>
              <w:rPr>
                <w:sz w:val="17"/>
              </w:rPr>
            </w:r>
            <w:r>
              <w:rPr>
                <w:b w:val="0"/>
                <w:sz w:val="17"/>
              </w:rPr>
              <w:t>ODA3 Institute maintains sole versioning and interpretation authority for UAIF v1.0.</w:t>
            </w:r>
          </w:p>
        </w:tc>
      </w:tr>
      <w:tr>
        <w:tc>
          <w:tcPr>
            <w:tcW w:type="dxa" w:w="5112"/>
            <w:vAlign w:val="top"/>
          </w:tcPr>
          <w:p>
            <w:r>
              <w:rPr>
                <w:sz w:val="17"/>
              </w:rPr>
            </w:r>
            <w:r>
              <w:rPr>
                <w:b w:val="0"/>
                <w:sz w:val="17"/>
              </w:rPr>
              <w:t>Supporting Document D2</w:t>
            </w:r>
          </w:p>
        </w:tc>
        <w:tc>
          <w:tcPr>
            <w:tcW w:type="dxa" w:w="5112"/>
            <w:vAlign w:val="top"/>
          </w:tcPr>
          <w:p>
            <w:r>
              <w:rPr>
                <w:sz w:val="17"/>
              </w:rPr>
            </w:r>
            <w:r>
              <w:rPr>
                <w:b w:val="0"/>
                <w:sz w:val="17"/>
              </w:rPr>
              <w:t>Contributor Licence Agreement; separate companion document, not included in this specification.</w:t>
            </w:r>
          </w:p>
        </w:tc>
      </w:tr>
      <w:tr>
        <w:tc>
          <w:tcPr>
            <w:tcW w:type="dxa" w:w="5112"/>
            <w:vAlign w:val="top"/>
          </w:tcPr>
          <w:p>
            <w:r>
              <w:rPr>
                <w:sz w:val="17"/>
              </w:rPr>
            </w:r>
            <w:r>
              <w:rPr>
                <w:b w:val="0"/>
                <w:sz w:val="17"/>
              </w:rPr>
              <w:t>Supporting Document D4</w:t>
            </w:r>
          </w:p>
        </w:tc>
        <w:tc>
          <w:tcPr>
            <w:tcW w:type="dxa" w:w="5112"/>
            <w:vAlign w:val="top"/>
          </w:tcPr>
          <w:p>
            <w:r>
              <w:rPr>
                <w:sz w:val="17"/>
              </w:rPr>
            </w:r>
            <w:r>
              <w:rPr>
                <w:b w:val="0"/>
                <w:sz w:val="17"/>
              </w:rPr>
              <w:t>Data Contribution Agreement; separate companion document, not included in this specification.</w:t>
            </w:r>
          </w:p>
        </w:tc>
      </w:tr>
      <w:tr>
        <w:tc>
          <w:tcPr>
            <w:tcW w:type="dxa" w:w="5112"/>
            <w:vAlign w:val="top"/>
          </w:tcPr>
          <w:p>
            <w:r>
              <w:rPr>
                <w:sz w:val="17"/>
              </w:rPr>
            </w:r>
            <w:r>
              <w:rPr>
                <w:b w:val="0"/>
                <w:sz w:val="17"/>
              </w:rPr>
              <w:t>HMAC key management</w:t>
            </w:r>
          </w:p>
        </w:tc>
        <w:tc>
          <w:tcPr>
            <w:tcW w:type="dxa" w:w="5112"/>
            <w:vAlign w:val="top"/>
          </w:tcPr>
          <w:p>
            <w:r>
              <w:rPr>
                <w:sz w:val="17"/>
              </w:rPr>
            </w:r>
            <w:r>
              <w:rPr>
                <w:b w:val="0"/>
                <w:sz w:val="17"/>
              </w:rPr>
              <w:t>Deduplication hash keys SHOULD be generated and stored under organisational KMS/HSM policy, rotated at least annually or after suspected compromise, and segregated by environment.</w:t>
            </w:r>
          </w:p>
        </w:tc>
      </w:tr>
      <w:tr>
        <w:tc>
          <w:tcPr>
            <w:tcW w:type="dxa" w:w="5112"/>
            <w:vAlign w:val="top"/>
          </w:tcPr>
          <w:p>
            <w:r>
              <w:rPr>
                <w:sz w:val="17"/>
              </w:rPr>
            </w:r>
            <w:r>
              <w:rPr>
                <w:b w:val="0"/>
                <w:sz w:val="17"/>
              </w:rPr>
              <w:t>GEL references</w:t>
            </w:r>
          </w:p>
        </w:tc>
        <w:tc>
          <w:tcPr>
            <w:tcW w:type="dxa" w:w="5112"/>
            <w:vAlign w:val="top"/>
          </w:tcPr>
          <w:p>
            <w:r>
              <w:rPr>
                <w:sz w:val="17"/>
              </w:rPr>
            </w:r>
            <w:r>
              <w:rPr>
                <w:b w:val="0"/>
                <w:sz w:val="17"/>
              </w:rPr>
              <w:t>Commercial use, embedding, certification claims, and conformance programme operation are governed by GEL v1.0. Section references SHALL be checked against the final GEL publication.</w:t>
            </w:r>
          </w:p>
        </w:tc>
      </w:tr>
    </w:tbl>
    <w:p/>
    <w:p>
      <w:pPr>
        <w:pStyle w:val="Heading1"/>
      </w:pPr>
      <w:r>
        <w:t>8. Licensing and Brand Use</w:t>
      </w:r>
    </w:p>
    <w:p>
      <w:r>
        <w:t>UAIF™, GAISSF™, AI-IRF™, ODA3™, and ODA3 Institute marks are proprietary marks of ODA3 Pvt Ltd. This document is licensed under GEL v1.0. No certification, endorsement, or official conformance status is granted by use of this document or schema alone.</w:t>
      </w:r>
    </w:p>
    <w:p>
      <w:pPr>
        <w:pStyle w:val="Heading1"/>
      </w:pPr>
      <w:r>
        <w:t>Appendix A: UAIF Core Profile Schema Reference</w:t>
      </w:r>
    </w:p>
    <w:p>
      <w:r>
        <w:t>The normative machine-readable schema is maintained in TCR-STD-003. The schema identifier is: https://schemas.oda3.org/uaif/core/v1.0/uaif-core-v1.0.json</w:t>
      </w:r>
    </w:p>
    <w:p>
      <w:pPr>
        <w:pStyle w:val="Heading1"/>
      </w:pPr>
      <w:r>
        <w:t>Appendix B: Conditional Validation Rules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shd w:fill="1F4E79"/>
          </w:tcPr>
          <w:p>
            <w:r>
              <w:rPr>
                <w:sz w:val="17"/>
              </w:rPr>
            </w:r>
            <w:r>
              <w:rPr>
                <w:b/>
                <w:color w:val="FFFFFF"/>
                <w:sz w:val="17"/>
              </w:rPr>
              <w:t>#</w:t>
            </w:r>
          </w:p>
        </w:tc>
        <w:tc>
          <w:tcPr>
            <w:tcW w:type="dxa" w:w="3408"/>
            <w:vAlign w:val="top"/>
            <w:shd w:fill="1F4E79"/>
          </w:tcPr>
          <w:p>
            <w:r>
              <w:rPr>
                <w:sz w:val="17"/>
              </w:rPr>
            </w:r>
            <w:r>
              <w:rPr>
                <w:b/>
                <w:color w:val="FFFFFF"/>
                <w:sz w:val="17"/>
              </w:rPr>
              <w:t>Condition</w:t>
            </w:r>
          </w:p>
        </w:tc>
        <w:tc>
          <w:tcPr>
            <w:tcW w:type="dxa" w:w="3408"/>
            <w:vAlign w:val="top"/>
            <w:shd w:fill="1F4E79"/>
          </w:tcPr>
          <w:p>
            <w:r>
              <w:rPr>
                <w:sz w:val="17"/>
              </w:rPr>
            </w:r>
            <w:r>
              <w:rPr>
                <w:b/>
                <w:color w:val="FFFFFF"/>
                <w:sz w:val="17"/>
              </w:rPr>
              <w:t>Consequence</w:t>
            </w:r>
          </w:p>
        </w:tc>
      </w:tr>
      <w:tr>
        <w:tc>
          <w:tcPr>
            <w:tcW w:type="dxa" w:w="3408"/>
            <w:vAlign w:val="top"/>
          </w:tcPr>
          <w:p>
            <w:r>
              <w:rPr>
                <w:sz w:val="17"/>
              </w:rPr>
            </w:r>
            <w:r>
              <w:rPr>
                <w:b w:val="0"/>
                <w:sz w:val="17"/>
              </w:rPr>
              <w:t>1</w:t>
            </w:r>
          </w:p>
        </w:tc>
        <w:tc>
          <w:tcPr>
            <w:tcW w:type="dxa" w:w="3408"/>
            <w:vAlign w:val="top"/>
          </w:tcPr>
          <w:p>
            <w:r>
              <w:rPr>
                <w:sz w:val="17"/>
              </w:rPr>
            </w:r>
            <w:r>
              <w:rPr>
                <w:b w:val="0"/>
                <w:sz w:val="17"/>
              </w:rPr>
              <w:t>root_cause_specific_type = Adversarial_Attack</w:t>
            </w:r>
          </w:p>
        </w:tc>
        <w:tc>
          <w:tcPr>
            <w:tcW w:type="dxa" w:w="3408"/>
            <w:vAlign w:val="top"/>
          </w:tcPr>
          <w:p>
            <w:r>
              <w:rPr>
                <w:sz w:val="17"/>
              </w:rPr>
            </w:r>
            <w:r>
              <w:rPr>
                <w:b w:val="0"/>
                <w:sz w:val="17"/>
              </w:rPr>
              <w:t>exploit_path_description SHALL be present</w:t>
            </w:r>
          </w:p>
        </w:tc>
      </w:tr>
      <w:tr>
        <w:tc>
          <w:tcPr>
            <w:tcW w:type="dxa" w:w="3408"/>
            <w:vAlign w:val="top"/>
          </w:tcPr>
          <w:p>
            <w:r>
              <w:rPr>
                <w:sz w:val="17"/>
              </w:rPr>
            </w:r>
            <w:r>
              <w:rPr>
                <w:b w:val="0"/>
                <w:sz w:val="17"/>
              </w:rPr>
              <w:t>2</w:t>
            </w:r>
          </w:p>
        </w:tc>
        <w:tc>
          <w:tcPr>
            <w:tcW w:type="dxa" w:w="3408"/>
            <w:vAlign w:val="top"/>
          </w:tcPr>
          <w:p>
            <w:r>
              <w:rPr>
                <w:sz w:val="17"/>
              </w:rPr>
            </w:r>
            <w:r>
              <w:rPr>
                <w:b w:val="0"/>
                <w:sz w:val="17"/>
              </w:rPr>
              <w:t>record_type = Incident</w:t>
            </w:r>
          </w:p>
        </w:tc>
        <w:tc>
          <w:tcPr>
            <w:tcW w:type="dxa" w:w="3408"/>
            <w:vAlign w:val="top"/>
          </w:tcPr>
          <w:p>
            <w:r>
              <w:rPr>
                <w:sz w:val="17"/>
              </w:rPr>
            </w:r>
            <w:r>
              <w:rPr>
                <w:b w:val="0"/>
                <w:sz w:val="17"/>
              </w:rPr>
              <w:t>severity_analytical_score, severity_presentation_score, severity_level, severity_rationale, and realized_harm_categories SHALL be present</w:t>
            </w:r>
          </w:p>
        </w:tc>
      </w:tr>
      <w:tr>
        <w:tc>
          <w:tcPr>
            <w:tcW w:type="dxa" w:w="3408"/>
            <w:vAlign w:val="top"/>
          </w:tcPr>
          <w:p>
            <w:r>
              <w:rPr>
                <w:sz w:val="17"/>
              </w:rPr>
            </w:r>
            <w:r>
              <w:rPr>
                <w:b w:val="0"/>
                <w:sz w:val="17"/>
              </w:rPr>
              <w:t>3</w:t>
            </w:r>
          </w:p>
        </w:tc>
        <w:tc>
          <w:tcPr>
            <w:tcW w:type="dxa" w:w="3408"/>
            <w:vAlign w:val="top"/>
          </w:tcPr>
          <w:p>
            <w:r>
              <w:rPr>
                <w:sz w:val="17"/>
              </w:rPr>
            </w:r>
            <w:r>
              <w:rPr>
                <w:b w:val="0"/>
                <w:sz w:val="17"/>
              </w:rPr>
              <w:t>regulatory_trigger present</w:t>
            </w:r>
          </w:p>
        </w:tc>
        <w:tc>
          <w:tcPr>
            <w:tcW w:type="dxa" w:w="3408"/>
            <w:vAlign w:val="top"/>
          </w:tcPr>
          <w:p>
            <w:r>
              <w:rPr>
                <w:sz w:val="17"/>
              </w:rPr>
            </w:r>
            <w:r>
              <w:rPr>
                <w:b w:val="0"/>
                <w:sz w:val="17"/>
              </w:rPr>
              <w:t>trigger_confidence and human_review_recommended SHALL be present</w:t>
            </w:r>
          </w:p>
        </w:tc>
      </w:tr>
      <w:tr>
        <w:tc>
          <w:tcPr>
            <w:tcW w:type="dxa" w:w="3408"/>
            <w:vAlign w:val="top"/>
          </w:tcPr>
          <w:p>
            <w:r>
              <w:rPr>
                <w:sz w:val="17"/>
              </w:rPr>
            </w:r>
            <w:r>
              <w:rPr>
                <w:b w:val="0"/>
                <w:sz w:val="17"/>
              </w:rPr>
              <w:t>4</w:t>
            </w:r>
          </w:p>
        </w:tc>
        <w:tc>
          <w:tcPr>
            <w:tcW w:type="dxa" w:w="3408"/>
            <w:vAlign w:val="top"/>
          </w:tcPr>
          <w:p>
            <w:r>
              <w:rPr>
                <w:sz w:val="17"/>
              </w:rPr>
            </w:r>
            <w:r>
              <w:rPr>
                <w:b w:val="0"/>
                <w:sz w:val="17"/>
              </w:rPr>
              <w:t>calibration_status = provisional</w:t>
            </w:r>
          </w:p>
        </w:tc>
        <w:tc>
          <w:tcPr>
            <w:tcW w:type="dxa" w:w="3408"/>
            <w:vAlign w:val="top"/>
          </w:tcPr>
          <w:p>
            <w:r>
              <w:rPr>
                <w:sz w:val="17"/>
              </w:rPr>
            </w:r>
            <w:r>
              <w:rPr>
                <w:b w:val="0"/>
                <w:sz w:val="17"/>
              </w:rPr>
              <w:t>weight_provisional_notice SHALL be present in severity_rationale</w:t>
            </w:r>
          </w:p>
        </w:tc>
      </w:tr>
      <w:tr>
        <w:tc>
          <w:tcPr>
            <w:tcW w:type="dxa" w:w="3408"/>
            <w:vAlign w:val="top"/>
          </w:tcPr>
          <w:p>
            <w:r>
              <w:rPr>
                <w:sz w:val="17"/>
              </w:rPr>
            </w:r>
            <w:r>
              <w:rPr>
                <w:b w:val="0"/>
                <w:sz w:val="17"/>
              </w:rPr>
              <w:t>5</w:t>
            </w:r>
          </w:p>
        </w:tc>
        <w:tc>
          <w:tcPr>
            <w:tcW w:type="dxa" w:w="3408"/>
            <w:vAlign w:val="top"/>
          </w:tcPr>
          <w:p>
            <w:r>
              <w:rPr>
                <w:sz w:val="17"/>
              </w:rPr>
            </w:r>
            <w:r>
              <w:rPr>
                <w:b w:val="0"/>
                <w:sz w:val="17"/>
              </w:rPr>
              <w:t>context_modifiers_applied contains entries</w:t>
            </w:r>
          </w:p>
        </w:tc>
        <w:tc>
          <w:tcPr>
            <w:tcW w:type="dxa" w:w="3408"/>
            <w:vAlign w:val="top"/>
          </w:tcPr>
          <w:p>
            <w:r>
              <w:rPr>
                <w:sz w:val="17"/>
              </w:rPr>
            </w:r>
            <w:r>
              <w:rPr>
                <w:b w:val="0"/>
                <w:sz w:val="17"/>
              </w:rPr>
              <w:t>Each entry SHALL include context, base_value, contribution_factor, effective_contribution</w:t>
            </w:r>
          </w:p>
        </w:tc>
      </w:tr>
      <w:tr>
        <w:tc>
          <w:tcPr>
            <w:tcW w:type="dxa" w:w="3408"/>
            <w:vAlign w:val="top"/>
          </w:tcPr>
          <w:p>
            <w:r>
              <w:rPr>
                <w:sz w:val="17"/>
              </w:rPr>
            </w:r>
            <w:r>
              <w:rPr>
                <w:b w:val="0"/>
                <w:sz w:val="17"/>
              </w:rPr>
              <w:t>6</w:t>
            </w:r>
          </w:p>
        </w:tc>
        <w:tc>
          <w:tcPr>
            <w:tcW w:type="dxa" w:w="3408"/>
            <w:vAlign w:val="top"/>
          </w:tcPr>
          <w:p>
            <w:r>
              <w:rPr>
                <w:sz w:val="17"/>
              </w:rPr>
            </w:r>
            <w:r>
              <w:rPr>
                <w:b w:val="0"/>
                <w:sz w:val="17"/>
              </w:rPr>
              <w:t>root_cause_specific_type not in controlled vocabulary</w:t>
            </w:r>
          </w:p>
        </w:tc>
        <w:tc>
          <w:tcPr>
            <w:tcW w:type="dxa" w:w="3408"/>
            <w:vAlign w:val="top"/>
          </w:tcPr>
          <w:p>
            <w:r>
              <w:rPr>
                <w:sz w:val="17"/>
              </w:rPr>
            </w:r>
            <w:r>
              <w:rPr>
                <w:b w:val="0"/>
                <w:sz w:val="17"/>
              </w:rPr>
              <w:t>Value SHALL be prefixed x_ or validation fails</w:t>
            </w:r>
          </w:p>
        </w:tc>
      </w:tr>
    </w:tbl>
    <w:p/>
    <w:p>
      <w:pPr>
        <w:pStyle w:val="Heading1"/>
      </w:pPr>
      <w:r>
        <w:t>Appendix H: Harm Weight Derivation Methodology</w:t>
      </w:r>
    </w:p>
    <w:p>
      <w:r>
        <w:t>Default harm weights are provisional and derived from preliminary incident review and expert elicitation. Target inter-rater reliability for sector validation is ICC &gt;= 0.80 using ICC(2,k), two-way mixed-effects model, absolute agreement, average measures. Sector validation requires &gt;=10 raters and &gt;=30 reference incidents per sector cohort.</w:t>
      </w:r>
    </w:p>
    <w:p>
      <w:pPr>
        <w:pStyle w:val="Heading1"/>
      </w:pPr>
      <w:r>
        <w:t>Appendix I: Standards Alignment Notes</w:t>
      </w:r>
    </w:p>
    <w:p>
      <w:r>
        <w:t>NIST AI RMF 1.0 is the current alignment basis for GOVERN, MAP, MEASURE, and MANAGE functions. NIST AI 100-2 E2025 may be referenced only for adversarial machine learning taxonomy alignment and not as a successor AI RMF release.</w:t>
      </w:r>
    </w:p>
    <w:p>
      <w:r>
        <w:t>EU AI Act references in UAIF v1.0 use Article 73 for serious incident reporting proxies. Legal counsel determines applicability and reporting timelines.</w:t>
      </w:r>
    </w:p>
    <w:p>
      <w:pPr>
        <w:pStyle w:val="Heading1"/>
      </w:pPr>
      <w:r>
        <w:t>Appendix J: NACE and NAICS Mapping Guidance</w:t>
      </w:r>
    </w:p>
    <w:p>
      <w:r>
        <w:t>NACE and NAICS codes are mapping metadata only. Implementations SHOULD map primary activity codes to the normative UAIF sector_code enum and retain the original activity code in nace_code_actual or naics_code_actual.</w:t>
      </w:r>
    </w:p>
    <w:p>
      <w:pPr>
        <w:pStyle w:val="Heading1"/>
      </w:pPr>
      <w:r>
        <w:t>Appendix K: Controlled Vocabulary</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Vocabulary</w:t>
            </w:r>
          </w:p>
        </w:tc>
        <w:tc>
          <w:tcPr>
            <w:tcW w:type="dxa" w:w="5112"/>
            <w:vAlign w:val="top"/>
            <w:shd w:fill="1F4E79"/>
          </w:tcPr>
          <w:p>
            <w:r>
              <w:rPr>
                <w:sz w:val="17"/>
              </w:rPr>
            </w:r>
            <w:r>
              <w:rPr>
                <w:b/>
                <w:color w:val="FFFFFF"/>
                <w:sz w:val="17"/>
              </w:rPr>
              <w:t>Values</w:t>
            </w:r>
          </w:p>
        </w:tc>
      </w:tr>
      <w:tr>
        <w:tc>
          <w:tcPr>
            <w:tcW w:type="dxa" w:w="5112"/>
            <w:vAlign w:val="top"/>
          </w:tcPr>
          <w:p>
            <w:r>
              <w:rPr>
                <w:sz w:val="17"/>
              </w:rPr>
            </w:r>
            <w:r>
              <w:rPr>
                <w:b w:val="0"/>
                <w:sz w:val="17"/>
              </w:rPr>
              <w:t>root_cause_specific_type</w:t>
            </w:r>
          </w:p>
        </w:tc>
        <w:tc>
          <w:tcPr>
            <w:tcW w:type="dxa" w:w="5112"/>
            <w:vAlign w:val="top"/>
          </w:tcPr>
          <w:p>
            <w:r>
              <w:rPr>
                <w:sz w:val="17"/>
              </w:rPr>
            </w:r>
            <w:r>
              <w:rPr>
                <w:b w:val="0"/>
                <w:sz w:val="17"/>
              </w:rPr>
              <w:t>Adversarial_Attack, Prompt_Injection, Model_Poisoning, Data_Poisoning, RAG_Leakage, Hallucination, Agent_Escalation, Policy_Violation, System_Failure, Human_Error, Supply_Chain_Compromise, Unauthorised_Access, Data_Breach, Denial_of_Service, Misuse, x_[custom]</w:t>
            </w:r>
          </w:p>
        </w:tc>
      </w:tr>
      <w:tr>
        <w:tc>
          <w:tcPr>
            <w:tcW w:type="dxa" w:w="5112"/>
            <w:vAlign w:val="top"/>
          </w:tcPr>
          <w:p>
            <w:r>
              <w:rPr>
                <w:sz w:val="17"/>
              </w:rPr>
            </w:r>
            <w:r>
              <w:rPr>
                <w:b w:val="0"/>
                <w:sz w:val="17"/>
              </w:rPr>
              <w:t>realized_harm_categories</w:t>
            </w:r>
          </w:p>
        </w:tc>
        <w:tc>
          <w:tcPr>
            <w:tcW w:type="dxa" w:w="5112"/>
            <w:vAlign w:val="top"/>
          </w:tcPr>
          <w:p>
            <w:r>
              <w:rPr>
                <w:sz w:val="17"/>
              </w:rPr>
            </w:r>
            <w:r>
              <w:rPr>
                <w:b w:val="0"/>
                <w:sz w:val="17"/>
              </w:rPr>
              <w:t>Physical_Harm, Environmental_Harm, Security_Integrity, Privacy_Violation, Financial_Loss, Psychological_Harm, Property_Damage, Reputational_Harm</w:t>
            </w:r>
          </w:p>
        </w:tc>
      </w:tr>
    </w:tbl>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Licensed under GEL v1.0 | © 2026 ODA3 Pvt Ltd | UAIF v1.0 Publication Candidate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